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505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505575"/>
                    </a:xfrm>
                    <a:prstGeom prst="rect">
                      <a:avLst/>
                    </a:prstGeom>
                    <a:noFill/>
                  </pic:spPr>
                </pic:pic>
              </a:graphicData>
            </a:graphic>
          </wp:anchor>
        </w:drawing>
      </w:r>
    </w:p>
    <w:p>
      <w:pPr>
        <w:sectPr>
          <w:pgSz w:w="11900" w:h="16899"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 Yan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640" w:type="dxa"/>
            <w:vAlign w:val="bottom"/>
            <w:tcBorders>
              <w:top w:val="single" w:sz="8" w:color="0000EE"/>
              <w:bottom w:val="single" w:sz="8" w:color="9A9A9A"/>
            </w:tcBorders>
          </w:tcPr>
          <w:p>
            <w:pPr>
              <w:spacing w:after="0"/>
              <w:rPr>
                <w:sz w:val="17"/>
                <w:szCs w:val="17"/>
                <w:color w:val="auto"/>
              </w:rPr>
            </w:pPr>
          </w:p>
        </w:tc>
        <w:tc>
          <w:tcPr>
            <w:tcW w:w="24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Niu Technologies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NIU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99"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23F BUILDING C RONGXIN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TECHNOLOGY CENTER</w:t>
      </w:r>
    </w:p>
    <w:p>
      <w:pPr>
        <w:spacing w:after="0" w:line="56" w:lineRule="exact"/>
        <w:rPr>
          <w:sz w:val="24"/>
          <w:szCs w:val="24"/>
          <w:color w:val="auto"/>
        </w:rPr>
      </w:pPr>
    </w:p>
    <w:p>
      <w:pPr>
        <w:ind w:left="140" w:right="1517"/>
        <w:spacing w:after="0" w:line="332" w:lineRule="auto"/>
        <w:rPr>
          <w:sz w:val="20"/>
          <w:szCs w:val="20"/>
          <w:color w:val="auto"/>
        </w:rPr>
      </w:pPr>
      <w:r>
        <w:rPr>
          <w:rFonts w:ascii="Times New Roman" w:cs="Times New Roman" w:eastAsia="Times New Roman" w:hAnsi="Times New Roman"/>
          <w:sz w:val="18"/>
          <w:szCs w:val="18"/>
          <w:color w:val="0000FF"/>
        </w:rPr>
        <w:t>NO. 34 CHUANGYUAN ROAD CHAOYANG DISTRICT</w:t>
      </w:r>
    </w:p>
    <w:p>
      <w:pPr>
        <w:spacing w:after="0" w:line="22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100012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99"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tcPr>
          <w:p>
            <w:pPr>
              <w:ind w:left="12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9"/>
              </w:rPr>
              <w:t>Ownership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(I) (Instr. 5)</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20"/>
                <w:szCs w:val="20"/>
                <w:color w:val="0000FF"/>
              </w:rPr>
              <w:t>292,500</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tcPr>
          <w:p>
            <w:pPr>
              <w:ind w:left="84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Held by ELLY Holdings Limited,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6,615,000</w:t>
            </w:r>
          </w:p>
        </w:tc>
        <w:tc>
          <w:tcPr>
            <w:tcW w:w="1020" w:type="dxa"/>
            <w:vAlign w:val="bottom"/>
            <w:vMerge w:val="restart"/>
          </w:tcPr>
          <w:p>
            <w:pPr>
              <w:ind w:left="88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a BVI business company owned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by the reporting person and his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spouse</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60" w:type="dxa"/>
            <w:vAlign w:val="bottom"/>
            <w:tcBorders>
              <w:bottom w:val="single" w:sz="8" w:color="2C2C2C"/>
            </w:tcBorders>
            <w:gridSpan w:val="5"/>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5"/>
          </w:tcPr>
          <w:p>
            <w:pPr>
              <w:ind w:left="2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02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40" w:type="dxa"/>
            <w:vAlign w:val="bottom"/>
          </w:tcPr>
          <w:p>
            <w:pPr>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07/31/2029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2"/>
              </w:rPr>
              <w:t>930,000</w:t>
            </w:r>
            <w:r>
              <w:rPr>
                <w:rFonts w:ascii="Times New Roman" w:cs="Times New Roman" w:eastAsia="Times New Roman" w:hAnsi="Times New Roman"/>
                <w:sz w:val="25"/>
                <w:szCs w:val="25"/>
                <w:color w:val="008000"/>
                <w:w w:val="92"/>
                <w:vertAlign w:val="superscript"/>
              </w:rPr>
              <w:t>(2)</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3.425</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02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2"/>
              </w:rPr>
              <w:t>1,125,000</w:t>
            </w:r>
            <w:r>
              <w:rPr>
                <w:rFonts w:ascii="Times New Roman" w:cs="Times New Roman" w:eastAsia="Times New Roman" w:hAnsi="Times New Roman"/>
                <w:sz w:val="25"/>
                <w:szCs w:val="25"/>
                <w:color w:val="008000"/>
                <w:w w:val="92"/>
                <w:vertAlign w:val="superscript"/>
              </w:rPr>
              <w:t>(3)</w:t>
            </w:r>
          </w:p>
        </w:tc>
        <w:tc>
          <w:tcPr>
            <w:tcW w:w="560" w:type="dxa"/>
            <w:vAlign w:val="bottom"/>
            <w:vMerge w:val="restart"/>
          </w:tcPr>
          <w:p>
            <w:pPr>
              <w:jc w:val="center"/>
              <w:ind w:left="345"/>
              <w:spacing w:after="0"/>
              <w:rPr>
                <w:sz w:val="20"/>
                <w:szCs w:val="20"/>
                <w:color w:val="auto"/>
              </w:rPr>
            </w:pPr>
            <w:r>
              <w:rPr>
                <w:rFonts w:ascii="Times New Roman" w:cs="Times New Roman" w:eastAsia="Times New Roman" w:hAnsi="Times New Roman"/>
                <w:sz w:val="13"/>
                <w:szCs w:val="13"/>
                <w:color w:val="008000"/>
                <w:w w:val="92"/>
              </w:rPr>
              <w:t>(4)</w:t>
            </w:r>
          </w:p>
        </w:tc>
        <w:tc>
          <w:tcPr>
            <w:tcW w:w="420" w:type="dxa"/>
            <w:vAlign w:val="bottom"/>
          </w:tcPr>
          <w:p>
            <w:pPr>
              <w:spacing w:after="0"/>
              <w:rPr>
                <w:sz w:val="24"/>
                <w:szCs w:val="24"/>
                <w:color w:val="auto"/>
              </w:rPr>
            </w:pP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0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2"/>
              </w:rPr>
              <w:t>1,000,000</w:t>
            </w:r>
            <w:r>
              <w:rPr>
                <w:rFonts w:ascii="Times New Roman" w:cs="Times New Roman" w:eastAsia="Times New Roman" w:hAnsi="Times New Roman"/>
                <w:sz w:val="25"/>
                <w:szCs w:val="25"/>
                <w:color w:val="008000"/>
                <w:w w:val="92"/>
                <w:vertAlign w:val="superscript"/>
              </w:rPr>
              <w:t>(5)</w:t>
            </w:r>
          </w:p>
        </w:tc>
        <w:tc>
          <w:tcPr>
            <w:tcW w:w="560" w:type="dxa"/>
            <w:vAlign w:val="bottom"/>
            <w:vMerge w:val="restart"/>
          </w:tcPr>
          <w:p>
            <w:pPr>
              <w:jc w:val="center"/>
              <w:ind w:left="345"/>
              <w:spacing w:after="0"/>
              <w:rPr>
                <w:sz w:val="20"/>
                <w:szCs w:val="20"/>
                <w:color w:val="auto"/>
              </w:rPr>
            </w:pPr>
            <w:r>
              <w:rPr>
                <w:rFonts w:ascii="Times New Roman" w:cs="Times New Roman" w:eastAsia="Times New Roman" w:hAnsi="Times New Roman"/>
                <w:sz w:val="13"/>
                <w:szCs w:val="13"/>
                <w:color w:val="008000"/>
                <w:w w:val="92"/>
              </w:rPr>
              <w:t>(4)</w:t>
            </w:r>
          </w:p>
        </w:tc>
        <w:tc>
          <w:tcPr>
            <w:tcW w:w="420" w:type="dxa"/>
            <w:vAlign w:val="bottom"/>
          </w:tcPr>
          <w:p>
            <w:pPr>
              <w:spacing w:after="0"/>
              <w:rPr>
                <w:sz w:val="24"/>
                <w:szCs w:val="24"/>
                <w:color w:val="auto"/>
              </w:rPr>
            </w:pP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0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two (2) Class A ordinary shares, with a par value of US$0.0001 per share, of Niu Technologies (the "Company").</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930,000 options were granted to the reporting person pursuant to the Company's 2018 Share Incentive Plan (the "2018 Plan") on August 1, 2019, and have been fully vested.</w:t>
      </w:r>
    </w:p>
    <w:p>
      <w:pPr>
        <w:spacing w:after="0" w:line="52"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1,125,000 unvested RSUs were granted to the reporting person pursuant to the 2018 Plan on January 10, 2025, and will vest in three equal annual installments of 375,000 RSUs each on January 10, 2027, January 10, 2028 and January 10, 2029, respectively.</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contingent right to receive one (1) Class A ordinary shares of the Company upon vesting.</w:t>
      </w:r>
    </w:p>
    <w:p>
      <w:pPr>
        <w:spacing w:after="0" w:line="52" w:lineRule="exact"/>
        <w:rPr>
          <w:rFonts w:ascii="Times New Roman" w:cs="Times New Roman" w:eastAsia="Times New Roman" w:hAnsi="Times New Roman"/>
          <w:sz w:val="15"/>
          <w:szCs w:val="15"/>
          <w:color w:val="008000"/>
        </w:rPr>
      </w:pPr>
    </w:p>
    <w:p>
      <w:pPr>
        <w:ind w:left="40" w:right="3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1,000,000 unvested RSUs were granted to the reporting person pursuant to the 2018 Plan on January 20, 2026, and will vest in four equal annual installments of 250,000 RSUs each on January 20, 2027, January 20, 2028, January 20, 2029 and January 20, 2030, respectively.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2"/>
              </w:rPr>
              <w:t>/s/ Yan Li</w:t>
            </w:r>
          </w:p>
        </w:tc>
        <w:tc>
          <w:tcPr>
            <w:tcW w:w="14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03/06/2026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99" w:orient="portrait"/>
          <w:cols w:equalWidth="0" w:num="1">
            <w:col w:w="10940"/>
          </w:cols>
          <w:pgMar w:left="480" w:top="230" w:right="47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8551" TargetMode="External"/><Relationship Id="rId11" Type="http://schemas.openxmlformats.org/officeDocument/2006/relationships/hyperlink" Target="http://www.sec.gov/cgi-bin/browse-edgar?action=getcompany&amp;CIK=000174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2026-03-06T07:03:49Z</dcterms:created>
  <dcterms:modified xsi:type="dcterms:W3CDTF">2026-03-06T07:03:49Z</dcterms:modified>
</cp:coreProperties>
</file>