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687d1_6k.htm"/>
      <w:bookmarkStart w:id="1" w:name="kstm262268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001-38696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NIU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23/F, Building C, Rongxin Technology Center,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34 Chuangyuan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 Beijing 100012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622687d1_ex99-1.htm">
        <w:r>
          <w:rPr>
            <w:rStyle w:val="InternetLink"/>
            <w:rFonts w:ascii="Times New Roman;Times;Serif" w:hAnsi="Times New Roman;Times;Serif"/>
            <w:b w:val="false"/>
            <w:i w:val="false"/>
            <w:caps w:val="false"/>
            <w:smallCaps w:val="false"/>
            <w:sz w:val="20"/>
          </w:rPr>
          <w:t>Exhibit 99.1—Press Release</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630" w:type="dxa"/>
        <w:jc w:val="left"/>
        <w:tblInd w:w="0" w:type="dxa"/>
        <w:tblLayout w:type="fixed"/>
        <w:tblCellMar>
          <w:top w:w="0" w:type="dxa"/>
          <w:left w:w="0" w:type="dxa"/>
          <w:bottom w:w="0" w:type="dxa"/>
          <w:right w:w="0" w:type="dxa"/>
        </w:tblCellMar>
      </w:tblPr>
      <w:tblGrid>
        <w:gridCol w:w="75"/>
        <w:gridCol w:w="530"/>
        <w:gridCol w:w="80"/>
        <w:gridCol w:w="2945"/>
      </w:tblGrid>
      <w:tr>
        <w:trPr/>
        <w:tc>
          <w:tcPr>
            <w:tcW w:w="75" w:type="dxa"/>
            <w:tcBorders/>
            <w:vAlign w:val="center"/>
          </w:tcPr>
          <w:p>
            <w:pPr>
              <w:pStyle w:val="TableContents"/>
              <w:bidi w:val="0"/>
              <w:spacing w:before="0" w:after="283"/>
              <w:jc w:val="left"/>
              <w:rPr/>
            </w:pPr>
            <w:r>
              <w:rPr/>
              <w:t> </w:t>
            </w:r>
          </w:p>
        </w:tc>
        <w:tc>
          <w:tcPr>
            <w:tcW w:w="3555" w:type="dxa"/>
            <w:gridSpan w:val="3"/>
            <w:tcBorders/>
            <w:vAlign w:val="center"/>
          </w:tcPr>
          <w:p>
            <w:pPr>
              <w:pStyle w:val="TableContents"/>
              <w:bidi w:val="0"/>
              <w:spacing w:before="0" w:after="283"/>
              <w:jc w:val="left"/>
              <w:rPr/>
            </w:pPr>
            <w:r>
              <w:rPr/>
              <w:t>NIU TECHNOLOGIES</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945" w:type="dxa"/>
            <w:tcBorders>
              <w:bottom w:val="single" w:sz="8" w:space="0" w:color="000000"/>
            </w:tcBorders>
            <w:tcMar>
              <w:bottom w:w="28" w:type="dxa"/>
            </w:tcMar>
            <w:vAlign w:val="center"/>
          </w:tcPr>
          <w:p>
            <w:pPr>
              <w:pStyle w:val="TableContents"/>
              <w:bidi w:val="0"/>
              <w:spacing w:before="0" w:after="283"/>
              <w:jc w:val="left"/>
              <w:rPr/>
            </w:pPr>
            <w:r>
              <w:rPr/>
              <w:t>/s/ Fion Zhou</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Fion Zhou</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2687d1_ex99-1.htm"/>
      <w:bookmarkStart w:id="3" w:name="kstm2622687d1_ex991"/>
      <w:bookmarkEnd w:id="2"/>
      <w:bookmarkEnd w:id="3"/>
      <w:r>
        <w:rPr/>
        <w:t> </w:t>
      </w:r>
      <w:r>
        <w:br w:type="page"/>
      </w:r>
    </w:p>
    <w:p>
      <w:pPr>
        <w:pStyle w:val="TextBody"/>
        <w:bidi w:val="0"/>
        <w:jc w:val="right"/>
        <w:rPr>
          <w:sz w:val="20"/>
        </w:rPr>
      </w:pPr>
      <w:r>
        <w:rPr>
          <w:b/>
          <w:sz w:val="20"/>
        </w:rPr>
        <w:t>Exhibit 99.1</w:t>
      </w:r>
      <w:r>
        <w:rPr>
          <w:sz w:val="20"/>
        </w:rPr>
        <w:t> </w:t>
      </w:r>
    </w:p>
    <w:p>
      <w:pPr>
        <w:pStyle w:val="TextBody"/>
        <w:bidi w:val="0"/>
        <w:spacing w:before="0" w:after="283"/>
        <w:jc w:val="left"/>
        <w:rPr/>
      </w:pPr>
      <w:r>
        <w:rPr/>
        <w:t> </w:t>
      </w:r>
    </w:p>
    <w:p>
      <w:pPr>
        <w:pStyle w:val="TextBody"/>
        <w:bidi w:val="0"/>
        <w:jc w:val="center"/>
        <w:rPr/>
      </w:pPr>
      <w:r>
        <w:rPr/>
        <w:drawing>
          <wp:inline distT="0" distB="0" distL="0" distR="0">
            <wp:extent cx="118110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81100" cy="59055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Niu Technologies Announces Unaudited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Second Quarter Revenues of RMB 1,440.4 million, up 14.7% year over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Second Quarter Net Loss of RMB 102.2 million, compared with Net Income of RMB 5.9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 August 10, 2026 – Niu Technologies (“NIU” or the “Company”) (NASDAQ: NIU), the world’s leading provider of smart urban mobility solutions, today announced its unaudited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z w:val="20"/>
              </w:rPr>
            </w:pPr>
            <w:r>
              <w:rPr>
                <w:b/>
                <w:sz w:val="20"/>
              </w:rPr>
              <w:t>Revenues</w:t>
            </w:r>
            <w:r>
              <w:rPr>
                <w:sz w:val="20"/>
              </w:rPr>
              <w:t xml:space="preserve"> were RMB 1,440.4 million, an increase of 14.7% year over year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z w:val="20"/>
              </w:rPr>
            </w:pPr>
            <w:r>
              <w:rPr>
                <w:b/>
                <w:sz w:val="20"/>
              </w:rPr>
              <w:t>Gross margin</w:t>
            </w:r>
            <w:r>
              <w:rPr>
                <w:sz w:val="20"/>
              </w:rPr>
              <w:t xml:space="preserve"> was 16.0%, compared with 20.1% in the second quarter of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z w:val="20"/>
              </w:rPr>
            </w:pPr>
            <w:r>
              <w:rPr>
                <w:b/>
                <w:sz w:val="20"/>
              </w:rPr>
              <w:t>Net loss</w:t>
            </w:r>
            <w:r>
              <w:rPr>
                <w:sz w:val="20"/>
              </w:rPr>
              <w:t xml:space="preserve"> was RMB 102.2 million, compared with net income of RMB 5.9 million in the second quarter of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z w:val="20"/>
              </w:rPr>
            </w:pPr>
            <w:r>
              <w:rPr>
                <w:b/>
                <w:sz w:val="20"/>
              </w:rPr>
              <w:t>Adjusted net loss (non-GAAP)</w:t>
            </w:r>
            <w:r>
              <w:rPr>
                <w:rFonts w:ascii="Times New Roman;Times;Serif" w:hAnsi="Times New Roman;Times;Serif"/>
                <w:position w:val="7"/>
                <w:sz w:val="16"/>
                <w:sz w:val="20"/>
              </w:rPr>
              <w:t>1</w:t>
            </w:r>
            <w:r>
              <w:rPr>
                <w:sz w:val="20"/>
              </w:rPr>
              <w:t xml:space="preserve"> was RMB 98.2 million, compared with adjusted net income of RMB 13.7 million in the second quarter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Operating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29"/>
        <w:gridCol w:w="10032"/>
      </w:tblGrid>
      <w:tr>
        <w:trPr/>
        <w:tc>
          <w:tcPr>
            <w:tcW w:w="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2" w:type="dxa"/>
            <w:tcBorders/>
            <w:vAlign w:val="center"/>
          </w:tcPr>
          <w:p>
            <w:pPr>
              <w:pStyle w:val="TableContents"/>
              <w:bidi w:val="0"/>
              <w:spacing w:before="0" w:after="283"/>
              <w:jc w:val="both"/>
              <w:rPr>
                <w:sz w:val="20"/>
              </w:rPr>
            </w:pPr>
            <w:r>
              <w:rPr>
                <w:sz w:val="20"/>
              </w:rPr>
              <w:t>The number of e-scooters sold was 434,687, an increase of 24.2% year over year</w:t>
            </w:r>
          </w:p>
        </w:tc>
      </w:tr>
      <w:tr>
        <w:trPr/>
        <w:tc>
          <w:tcPr>
            <w:tcW w:w="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2" w:type="dxa"/>
            <w:tcBorders/>
            <w:vAlign w:val="center"/>
          </w:tcPr>
          <w:p>
            <w:pPr>
              <w:pStyle w:val="TableContents"/>
              <w:bidi w:val="0"/>
              <w:spacing w:before="0" w:after="283"/>
              <w:jc w:val="both"/>
              <w:rPr>
                <w:sz w:val="20"/>
              </w:rPr>
            </w:pPr>
            <w:r>
              <w:rPr>
                <w:sz w:val="20"/>
              </w:rPr>
              <w:t>The number of e-scooters sold in China was 402,202, an increase of 26.2% year over year</w:t>
            </w:r>
          </w:p>
        </w:tc>
      </w:tr>
      <w:tr>
        <w:trPr/>
        <w:tc>
          <w:tcPr>
            <w:tcW w:w="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2" w:type="dxa"/>
            <w:tcBorders/>
            <w:vAlign w:val="center"/>
          </w:tcPr>
          <w:p>
            <w:pPr>
              <w:pStyle w:val="TableContents"/>
              <w:bidi w:val="0"/>
              <w:spacing w:before="0" w:after="283"/>
              <w:jc w:val="both"/>
              <w:rPr>
                <w:sz w:val="20"/>
              </w:rPr>
            </w:pPr>
            <w:r>
              <w:rPr>
                <w:sz w:val="20"/>
              </w:rPr>
              <w:t>The number of e-scooters sold in the international markets was 32,485, an increase of 3.6% year over year</w:t>
            </w:r>
          </w:p>
        </w:tc>
      </w:tr>
      <w:tr>
        <w:trPr/>
        <w:tc>
          <w:tcPr>
            <w:tcW w:w="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2" w:type="dxa"/>
            <w:tcBorders/>
            <w:vAlign w:val="center"/>
          </w:tcPr>
          <w:p>
            <w:pPr>
              <w:pStyle w:val="TableContents"/>
              <w:bidi w:val="0"/>
              <w:spacing w:before="0" w:after="283"/>
              <w:jc w:val="both"/>
              <w:rPr>
                <w:sz w:val="20"/>
              </w:rPr>
            </w:pPr>
            <w:r>
              <w:rPr>
                <w:sz w:val="20"/>
              </w:rPr>
              <w:t>The number of franchised stores in China was 4,570 as of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Yan Li, Chief Executive Officer of the Company, remarked, “In China, by incorporating AI-enabled riding features into a broader range of everyday riding needs, we continued to develop our smart mobility roadmap and strengthen the connected riding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Li continued, “Internationally, we maintained a selective approach and continued to align our product offerings with local demand to support the stability of our global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Adjusted net income (loss) (non-GAAP) is defined as net income (loss) excluding share-based compensation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81100"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81100" cy="5905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Revenues </w:t>
      </w:r>
      <w:r>
        <w:rPr>
          <w:rFonts w:ascii="Times New Roman;Times;Serif" w:hAnsi="Times New Roman;Times;Serif"/>
          <w:b w:val="false"/>
          <w:i w:val="false"/>
          <w:caps w:val="false"/>
          <w:smallCaps w:val="false"/>
          <w:sz w:val="20"/>
        </w:rPr>
        <w:t>reached RMB 1,440.4 million, representing a 14.7% increase year over year. This increase was primarily driven by a 24.2% increase in sales volume, partially offset by an 8.6% decrease in revenues per e-scooter. The following table shows the revenue breakdown and revenues per e-scooter in the periods presented:</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28" w:type="dxa"/>
          <w:right w:w="0" w:type="dxa"/>
        </w:tblCellMar>
      </w:tblPr>
      <w:tblGrid>
        <w:gridCol w:w="3425"/>
        <w:gridCol w:w="60"/>
        <w:gridCol w:w="60"/>
        <w:gridCol w:w="635"/>
        <w:gridCol w:w="60"/>
        <w:gridCol w:w="60"/>
        <w:gridCol w:w="60"/>
        <w:gridCol w:w="635"/>
        <w:gridCol w:w="60"/>
        <w:gridCol w:w="60"/>
        <w:gridCol w:w="94"/>
        <w:gridCol w:w="766"/>
        <w:gridCol w:w="200"/>
      </w:tblGrid>
      <w:tr>
        <w:trPr/>
        <w:tc>
          <w:tcPr>
            <w:tcW w:w="3425" w:type="dxa"/>
            <w:tcBorders>
              <w:bottom w:val="single" w:sz="8" w:space="0" w:color="000000"/>
            </w:tcBorders>
            <w:vAlign w:val="center"/>
          </w:tcPr>
          <w:p>
            <w:pPr>
              <w:pStyle w:val="TableContents"/>
              <w:bidi w:val="0"/>
              <w:spacing w:before="0" w:after="283"/>
              <w:jc w:val="left"/>
              <w:rPr>
                <w:b/>
                <w:sz w:val="20"/>
              </w:rPr>
            </w:pPr>
            <w:r>
              <w:rPr>
                <w:b/>
                <w:sz w:val="20"/>
              </w:rPr>
              <w:t>Revenues</w:t>
              <w:br/>
              <w:t>(in RMB million)</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8" w:space="0" w:color="000000"/>
            </w:tcBorders>
            <w:vAlign w:val="center"/>
          </w:tcPr>
          <w:p>
            <w:pPr>
              <w:pStyle w:val="TableContents"/>
              <w:bidi w:val="0"/>
              <w:spacing w:before="0" w:after="283"/>
              <w:jc w:val="center"/>
              <w:rPr>
                <w:b/>
                <w:sz w:val="20"/>
              </w:rPr>
            </w:pPr>
            <w:r>
              <w:rPr>
                <w:b/>
                <w:sz w:val="20"/>
              </w:rPr>
              <w:t>2026</w:t>
              <w:br/>
              <w:t>Q2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8" w:space="0" w:color="000000"/>
            </w:tcBorders>
            <w:vAlign w:val="center"/>
          </w:tcPr>
          <w:p>
            <w:pPr>
              <w:pStyle w:val="TableContents"/>
              <w:bidi w:val="0"/>
              <w:spacing w:before="0" w:after="283"/>
              <w:jc w:val="center"/>
              <w:rPr>
                <w:b/>
                <w:sz w:val="20"/>
              </w:rPr>
            </w:pPr>
            <w:r>
              <w:rPr>
                <w:b/>
                <w:sz w:val="20"/>
              </w:rPr>
              <w:t>2025</w:t>
              <w:br/>
              <w:t>Q2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br/>
              <w:t>YoY</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E-scooter sales from China market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E-scooter sales from international markets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E-scooter sales, sub-total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1,316.9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Accessories, spare parts and services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1,255.7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949" w:type="dxa"/>
        <w:jc w:val="left"/>
        <w:tblInd w:w="0" w:type="dxa"/>
        <w:tblLayout w:type="fixed"/>
        <w:tblCellMar>
          <w:top w:w="0" w:type="dxa"/>
          <w:left w:w="0" w:type="dxa"/>
          <w:bottom w:w="28" w:type="dxa"/>
          <w:right w:w="0" w:type="dxa"/>
        </w:tblCellMar>
      </w:tblPr>
      <w:tblGrid>
        <w:gridCol w:w="6455"/>
        <w:gridCol w:w="60"/>
        <w:gridCol w:w="60"/>
        <w:gridCol w:w="485"/>
        <w:gridCol w:w="60"/>
        <w:gridCol w:w="60"/>
        <w:gridCol w:w="60"/>
        <w:gridCol w:w="485"/>
        <w:gridCol w:w="60"/>
        <w:gridCol w:w="60"/>
        <w:gridCol w:w="108"/>
        <w:gridCol w:w="796"/>
        <w:gridCol w:w="200"/>
      </w:tblGrid>
      <w:tr>
        <w:trPr/>
        <w:tc>
          <w:tcPr>
            <w:tcW w:w="6455" w:type="dxa"/>
            <w:tcBorders>
              <w:bottom w:val="single" w:sz="8" w:space="0" w:color="000000"/>
            </w:tcBorders>
            <w:vAlign w:val="center"/>
          </w:tcPr>
          <w:p>
            <w:pPr>
              <w:pStyle w:val="TableContents"/>
              <w:bidi w:val="0"/>
              <w:spacing w:before="0" w:after="283"/>
              <w:jc w:val="left"/>
              <w:rPr>
                <w:b/>
                <w:sz w:val="20"/>
              </w:rPr>
            </w:pPr>
            <w:r>
              <w:rPr>
                <w:b/>
                <w:sz w:val="20"/>
              </w:rPr>
              <w:t xml:space="preserve">Revenues per e-scooter </w:t>
              <w:br/>
              <w:t>(in RMB)</w:t>
            </w:r>
          </w:p>
        </w:tc>
        <w:tc>
          <w:tcPr>
            <w:tcW w:w="60" w:type="dxa"/>
            <w:tcBorders/>
            <w:tcMar>
              <w:bottom w:w="0" w:type="dxa"/>
            </w:tcMar>
            <w:vAlign w:val="center"/>
          </w:tcPr>
          <w:p>
            <w:pPr>
              <w:pStyle w:val="TableContents"/>
              <w:bidi w:val="0"/>
              <w:spacing w:before="0" w:after="283"/>
              <w:jc w:val="left"/>
              <w:rPr/>
            </w:pPr>
            <w:r>
              <w:rPr/>
              <w:t> </w:t>
            </w:r>
          </w:p>
        </w:tc>
        <w:tc>
          <w:tcPr>
            <w:tcW w:w="545"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2026 </w:t>
              <w:br/>
              <w:t>Q2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 w:type="dxa"/>
            <w:gridSpan w:val="2"/>
            <w:tcBorders>
              <w:bottom w:val="single" w:sz="8" w:space="0" w:color="000000"/>
            </w:tcBorders>
            <w:vAlign w:val="center"/>
          </w:tcPr>
          <w:p>
            <w:pPr>
              <w:pStyle w:val="TableContents"/>
              <w:bidi w:val="0"/>
              <w:spacing w:before="0" w:after="283"/>
              <w:jc w:val="center"/>
              <w:rPr>
                <w:b/>
                <w:sz w:val="20"/>
              </w:rPr>
            </w:pPr>
            <w:r>
              <w:rPr>
                <w:b/>
                <w:sz w:val="20"/>
              </w:rPr>
              <w:t>2025</w:t>
              <w:br/>
              <w:t>Q2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 change </w:t>
              <w:br/>
              <w:t>YoY</w:t>
            </w:r>
          </w:p>
        </w:tc>
        <w:tc>
          <w:tcPr>
            <w:tcW w:w="200" w:type="dxa"/>
            <w:tcBorders/>
            <w:tcMar>
              <w:bottom w:w="0" w:type="dxa"/>
            </w:tcMar>
            <w:vAlign w:val="center"/>
          </w:tcPr>
          <w:p>
            <w:pPr>
              <w:pStyle w:val="TableContents"/>
              <w:bidi w:val="0"/>
              <w:spacing w:before="0" w:after="283"/>
              <w:jc w:val="left"/>
              <w:rPr/>
            </w:pPr>
            <w:r>
              <w:rPr/>
              <w:t> </w:t>
            </w:r>
          </w:p>
        </w:tc>
      </w:tr>
      <w:tr>
        <w:trPr/>
        <w:tc>
          <w:tcPr>
            <w:tcW w:w="64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E-scooter sales from China market</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E-scooter sales from international markets</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per e-scooter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Accessories, spare parts and services</w:t>
            </w:r>
            <w:r>
              <w:rPr>
                <w:rFonts w:ascii="Times New Roman;Times;Serif" w:hAnsi="Times New Roman;Times;Serif"/>
                <w:b w:val="false"/>
                <w:i w:val="false"/>
                <w:caps w:val="false"/>
                <w:smallCaps w:val="false"/>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6"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+4.0%</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4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Blended revenues per e-scooter (including accessories, spare parts and services)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both"/>
              <w:rPr>
                <w:sz w:val="20"/>
              </w:rPr>
            </w:pPr>
            <w:r>
              <w:rPr>
                <w:sz w:val="20"/>
              </w:rPr>
              <w:t>E-scooter sales revenues from China market were RMB 1,210.6 million, an increase of 14.6% year over year, representing 91.9% of total e-scooter revenues. The increase was mainly due to a 26.2% rise in sales volume, partially offset by a 9.2% decrease in revenues per e-scooter in China market.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both"/>
              <w:rPr>
                <w:sz w:val="20"/>
              </w:rPr>
            </w:pPr>
            <w:r>
              <w:rPr>
                <w:sz w:val="20"/>
              </w:rPr>
              <w:t>E-scooter sales revenues from international markets were RMB 106.3 million, an increase of 3.0% year over year, representing 8.1% of total e-scooter revenues. The increase was mainly due to higher sales volume of electric motorcycles and mopeds in international markets.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both"/>
              <w:rPr>
                <w:sz w:val="20"/>
              </w:rPr>
            </w:pPr>
            <w:r>
              <w:rPr>
                <w:sz w:val="20"/>
              </w:rPr>
              <w:t>Accessories, spare parts and services revenues were RMB 123.5 million, an increase of 29.0% year over year, representing 8.6% of total revenues. The increase was primarily driven by higher revenues from Niu App services, as well as accessories and spare parts sales in China market.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both"/>
              <w:rPr>
                <w:sz w:val="20"/>
              </w:rPr>
            </w:pPr>
            <w:r>
              <w:rPr>
                <w:sz w:val="20"/>
              </w:rPr>
              <w:t>Revenues per e-scooter were RMB 3,029, a decrease of 8.6% year over year. This decrease was primarily attributable to a shift in product mix in China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 of revenues</w:t>
      </w:r>
      <w:r>
        <w:rPr>
          <w:rFonts w:ascii="Times New Roman;Times;Serif" w:hAnsi="Times New Roman;Times;Serif"/>
          <w:b w:val="false"/>
          <w:i w:val="false"/>
          <w:caps w:val="false"/>
          <w:smallCaps w:val="false"/>
          <w:sz w:val="20"/>
        </w:rPr>
        <w:t xml:space="preserve"> was RMB 1,210.0 million, an increase of 20.6% year over year, mainly due to higher sales volume. The cost per e-scooter, defined as cost of revenues divided by the number of e-scooters sold in a specific period, was RMB 2,784, a decrease of 2.9% from RMB 2,866 in the second quarter of 2025. This decrease was mainly due to a shift in product mix in China market, partially offset by rising upstream supply chain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Gross margin </w:t>
      </w:r>
      <w:r>
        <w:rPr>
          <w:rFonts w:ascii="Times New Roman;Times;Serif" w:hAnsi="Times New Roman;Times;Serif"/>
          <w:b w:val="false"/>
          <w:i w:val="false"/>
          <w:caps w:val="false"/>
          <w:smallCaps w:val="false"/>
          <w:sz w:val="20"/>
        </w:rPr>
        <w:t>was 16.0%, compared with 20.1% in the same period of 2025. The decrease was primarily driven by shifts in product mix in China market, and higher product costs across the upstream supply chain, which put additional pressure on domestic gross margin. The decrease also resulted from lower gross margin on kick-scooters in international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Revenues per e-scooter on e-scooter sales from China or international markets is defined as e-scooter sales revenues from China or international markets divided by the number of e-scooters sold in China or international markets in a specific period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Revenues per e-scooter on accessories, spare parts and services is defined as accessories, spare parts and services revenues divided by the total number of e-scooters sold in a specific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81100" cy="590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81100" cy="5905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expenses</w:t>
      </w:r>
      <w:r>
        <w:rPr>
          <w:rFonts w:ascii="Times New Roman;Times;Serif" w:hAnsi="Times New Roman;Times;Serif"/>
          <w:b w:val="false"/>
          <w:i w:val="false"/>
          <w:caps w:val="false"/>
          <w:smallCaps w:val="false"/>
          <w:sz w:val="20"/>
        </w:rPr>
        <w:t xml:space="preserve"> were RMB 340.6 million, an increase of 28.6% from the same period of 2025. Operating expenses as a percentage of revenues were 23.6%, compared with 21.1% in the second quarter of 2025.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both"/>
              <w:rPr>
                <w:sz w:val="20"/>
              </w:rPr>
            </w:pPr>
            <w:r>
              <w:rPr>
                <w:b/>
                <w:sz w:val="20"/>
              </w:rPr>
              <w:t>Selling and marketing expenses</w:t>
            </w:r>
            <w:r>
              <w:rPr>
                <w:sz w:val="20"/>
              </w:rPr>
              <w:t xml:space="preserve"> were RMB 238.6 million (including RMB 1.0 million of share-based compensation expenses), an increase of 18.0% from RMB 202.2 million in the second quarter of 2025, mainly due to an increase of RMB 21.9 million in advertising and promotional expenses in China market, including the quarterly allocation of annual marketing plan, and RMB 12.2 million in depreciation and amortization. Selling and marketing expenses as a percentage of revenues were 16.6%, compared with 16.1% in the second quarter of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both"/>
              <w:rPr>
                <w:sz w:val="20"/>
              </w:rPr>
            </w:pPr>
            <w:r>
              <w:rPr>
                <w:b/>
                <w:sz w:val="20"/>
              </w:rPr>
              <w:t>Research and development expenses</w:t>
            </w:r>
            <w:r>
              <w:rPr>
                <w:sz w:val="20"/>
              </w:rPr>
              <w:t xml:space="preserve"> were RMB 51.5 million (including RMB 0.8 million of share-based compensation expenses), an increase of 17.8% from RMB 43.7 million in the second quarter of 2025, mainly due to an increase of RMB 4.4 million in design and testing expenses, and RMB 2.0 million in staff costs and share-based compensation. Research and development expenses as a percentage of revenues were 3.6%, compared with 3.5% in the second quarter of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both"/>
              <w:rPr>
                <w:sz w:val="20"/>
              </w:rPr>
            </w:pPr>
            <w:r>
              <w:rPr>
                <w:b/>
                <w:sz w:val="20"/>
              </w:rPr>
              <w:t>General and administrative expenses</w:t>
            </w:r>
            <w:r>
              <w:rPr>
                <w:sz w:val="20"/>
              </w:rPr>
              <w:t xml:space="preserve"> were RMB 50.5 million (including RMB 2.0 million of share-based compensation expenses), an increase of 165.2% from RMB 19.1 million in the second quarter of 2025, mainly attributable to an increase of RMB 44.2 million in foreign exchange gains or losses, consisting of foreign exchange losses of RMB 19.0 million in this quarter versus foreign exchange gains of RMB 25.3 million in the second quarter of 2025. General and administrative expenses as a percentage of revenues were 3.5%, compared with 1.5% in the second quarter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expenses excluding share-based compensation expenses</w:t>
      </w:r>
      <w:r>
        <w:rPr>
          <w:rFonts w:ascii="Times New Roman;Times;Serif" w:hAnsi="Times New Roman;Times;Serif"/>
          <w:b w:val="false"/>
          <w:i w:val="false"/>
          <w:caps w:val="false"/>
          <w:smallCaps w:val="false"/>
          <w:sz w:val="20"/>
        </w:rPr>
        <w:t xml:space="preserve"> were RMB 336.8 million, an increase of 30.9% year over year, representing 23.4% of revenues, compared with 20.5% in the second quarter of 2025.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both"/>
              <w:rPr>
                <w:sz w:val="20"/>
              </w:rPr>
            </w:pPr>
            <w:r>
              <w:rPr>
                <w:b/>
                <w:sz w:val="20"/>
              </w:rPr>
              <w:t>Selling and marketing expenses excluding share-based compensation expenses</w:t>
            </w:r>
            <w:r>
              <w:rPr>
                <w:sz w:val="20"/>
              </w:rPr>
              <w:t xml:space="preserve"> were RMB 237.6 million, an increase of 18.5% year over year, representing 16.5% of revenues, compared with 16.0% in the second quarter of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both"/>
              <w:rPr>
                <w:sz w:val="20"/>
              </w:rPr>
            </w:pPr>
            <w:r>
              <w:rPr>
                <w:b/>
                <w:sz w:val="20"/>
              </w:rPr>
              <w:t>Research and development expenses excluding share-based compensation expenses</w:t>
            </w:r>
            <w:r>
              <w:rPr>
                <w:sz w:val="20"/>
              </w:rPr>
              <w:t xml:space="preserve"> were RMB 50.7 million, an increase of 23.8% year over year, representing 3.5% of revenues, compared with 3.3% in the second quarter of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both"/>
              <w:rPr>
                <w:sz w:val="20"/>
              </w:rPr>
            </w:pPr>
            <w:r>
              <w:rPr>
                <w:b/>
                <w:sz w:val="20"/>
              </w:rPr>
              <w:t xml:space="preserve">General and administrative expenses excluding share-based compensation expenses </w:t>
            </w:r>
            <w:r>
              <w:rPr>
                <w:sz w:val="20"/>
              </w:rPr>
              <w:t>were RMB 48.5 million, an increase of 205.9% year over year, representing 3.4% of revenues, compared with 1.3% in the second quarter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Share-based compensation expenses</w:t>
      </w:r>
      <w:r>
        <w:rPr>
          <w:rFonts w:ascii="Times New Roman;Times;Serif" w:hAnsi="Times New Roman;Times;Serif"/>
          <w:b w:val="false"/>
          <w:i w:val="false"/>
          <w:caps w:val="false"/>
          <w:smallCaps w:val="false"/>
          <w:sz w:val="20"/>
        </w:rPr>
        <w:t xml:space="preserve"> were RMB 4.0 million, compared with RMB 7.9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Income tax benefit </w:t>
      </w:r>
      <w:r>
        <w:rPr>
          <w:rFonts w:ascii="Times New Roman;Times;Serif" w:hAnsi="Times New Roman;Times;Serif"/>
          <w:b w:val="false"/>
          <w:i w:val="false"/>
          <w:caps w:val="false"/>
          <w:smallCaps w:val="false"/>
          <w:sz w:val="20"/>
        </w:rPr>
        <w:t>was RMB 0.9 million, compared with RMB 12.5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w:t>
      </w:r>
      <w:r>
        <w:rPr>
          <w:rFonts w:ascii="Times New Roman;Times;Serif" w:hAnsi="Times New Roman;Times;Serif"/>
          <w:b w:val="false"/>
          <w:i w:val="false"/>
          <w:caps w:val="false"/>
          <w:smallCaps w:val="false"/>
          <w:sz w:val="20"/>
        </w:rPr>
        <w:t xml:space="preserve"> was RMB 102.2 million, compared with net income of RMB 5.9 million in the second quarter of 2025. The net loss margin was 7.1%, compared with net income margin of 0.5%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81100" cy="590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81100" cy="5905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Adjusted net loss (non-GAAP) </w:t>
      </w:r>
      <w:r>
        <w:rPr>
          <w:rFonts w:ascii="Times New Roman;Times;Serif" w:hAnsi="Times New Roman;Times;Serif"/>
          <w:b w:val="false"/>
          <w:i w:val="false"/>
          <w:caps w:val="false"/>
          <w:smallCaps w:val="false"/>
          <w:sz w:val="20"/>
        </w:rPr>
        <w:t>was RMB 98.2 million, compared with adjusted net income of RMB 13.7 million in the second quarter of 2025. The adjusted net loss margin</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was 6.8%, compared with adjusted net income margin of 1.1%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Basic and diluted net loss per ADS</w:t>
      </w:r>
      <w:r>
        <w:rPr>
          <w:rFonts w:ascii="Times New Roman;Times;Serif" w:hAnsi="Times New Roman;Times;Serif"/>
          <w:b w:val="false"/>
          <w:i w:val="false"/>
          <w:caps w:val="false"/>
          <w:smallCaps w:val="false"/>
          <w:sz w:val="20"/>
        </w:rPr>
        <w:t xml:space="preserve"> were both RMB 1.26 (US$ 0.19).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w:t>
      </w:r>
      <w:r>
        <w:rPr>
          <w:rFonts w:ascii="Times New Roman;Times;Serif" w:hAnsi="Times New Roman;Times;Serif"/>
          <w:b/>
          <w:i w:val="false"/>
          <w:caps w:val="false"/>
          <w:smallCaps w:val="false"/>
          <w:sz w:val="20"/>
        </w:rPr>
        <w:t>cash and cash equivalents, term deposits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and short-term investments</w:t>
      </w:r>
      <w:r>
        <w:rPr>
          <w:rFonts w:ascii="Times New Roman;Times;Serif" w:hAnsi="Times New Roman;Times;Serif"/>
          <w:b w:val="false"/>
          <w:i w:val="false"/>
          <w:caps w:val="false"/>
          <w:smallCaps w:val="false"/>
          <w:sz w:val="20"/>
        </w:rPr>
        <w:t xml:space="preserve"> of RMB 1,475.8 million in aggregate. The Company had restricted cash of RMB 217.9 million and short-term bank borrowings of RMB 220.0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NIU expects revenues for the third quarter of 2026 to be in the range of RMB 1,863 million to RMB 2,033 million, representing a year-over-year increase of 10% to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outlook is based on information available as of the date of this press release and reflects the Company’s current and preliminary expectations and is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an earnings conference call on Monday, August 10, 2026 at 8:00 AM U.S. Eastern Time (8:00 PM Beijing/Hong Kong Time) to discuss its second quarter 2026 financial and business results and provide a corporate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join via phone, participants need to register in advance of the conference call using the link provided below. Upon registration, participants will receive dial-in numbers and a personal PIN, which will be used to join the conference call.</w:t>
      </w:r>
    </w:p>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1595"/>
        <w:gridCol w:w="7145"/>
      </w:tblGrid>
      <w:tr>
        <w:trPr/>
        <w:tc>
          <w:tcPr>
            <w:tcW w:w="15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Event:</w:t>
            </w:r>
          </w:p>
        </w:tc>
        <w:tc>
          <w:tcPr>
            <w:tcW w:w="7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Niu Technologies Second Quarter 2026 Financial Results Conference Call</w:t>
            </w:r>
          </w:p>
        </w:tc>
      </w:tr>
      <w:tr>
        <w:trPr/>
        <w:tc>
          <w:tcPr>
            <w:tcW w:w="15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Registration Link:</w:t>
            </w:r>
          </w:p>
        </w:tc>
        <w:tc>
          <w:tcPr>
            <w:tcW w:w="7145" w:type="dxa"/>
            <w:tcBorders/>
            <w:vAlign w:val="center"/>
          </w:tcPr>
          <w:p>
            <w:pPr>
              <w:pStyle w:val="TableContents"/>
              <w:bidi w:val="0"/>
              <w:spacing w:before="0" w:after="283"/>
              <w:jc w:val="left"/>
              <w:rPr>
                <w:sz w:val="20"/>
              </w:rPr>
            </w:pPr>
            <w:r>
              <w:rPr>
                <w:sz w:val="20"/>
              </w:rPr>
              <w:t>https://register-conf.media-server.com/register/BI86bdc4efa3794d128f27c2a1d70cc7df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and archived webcast of the conference call will be available on the investor relations website at https://ir.niu.com/news-and-events/webcasts-and-presentations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NIU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world’s leading provider of smart urban mobility solutions, NIU designs, manufactures and sells high-performance electric motorcycles, mopeds, bicycles, as well as kick-scooters and e-bikes. NIU has a diversified product portfolio that caters to the various demands of our users and addresses different urban travel scenarios. Currently, NIU offers two model lineups, comprising a number of different vehicle types. These include (i) the electric motorcycle, moped and bicycle series, including the NQi, MQi, UQi, FQi series and others, and (ii) the micro-mobility series, including the kick-scooter series KQi and the e-bike series BQi. NIU has adopted an omnichannel retail model, integrating the offline and online channels, to sell its products and provide services to 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www.niu.com.</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Adjusted net income (loss) margin is defined as adjusted net income (loss) (non-GAAP) as a percentage of the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81100" cy="5905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81100" cy="5905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NIU’s consolidated financial results presented in accordance with the accounting principles generally accepted in the United States of America (“GAAP”), NIU uses the following non-GAAP financial measures: adjusted net income (loss) and adjusted net income (loss) margin. The presentation of these non-GAAP financial measures is not intended to be considered in isolation or as a substitute for the financial information prepared and presented in accordance with GAAP. NIU believes that these non-GAAP financial measures provide meaningful supplemental information regarding its performance and liquidity by excluding certain items that may not be indicative of its operating results. The Company believes that both management and investors benefit from referring to these non-GAAP financial measures in assessing its performance and when planning and forecasting future periods. These non-GAAP financial measures also facilitate management’s internal comparisons to NIU’s historical performance. The Company believes these non-GAAP financial measures are useful to investors in allowing for greater transparency with respect to supplemental information used by management in its financial and operational decision making. A limitation of using these non-GAAP financial measures is that these non-GAAP measures exclude certain items that have been and will continue to be for the foreseeable future a significant component in the Company’s results of operations. These non-GAAP financial measures presented here may not be comparable to similarly titled measures presented by other companies. Other companies may calculate similarly titled measures differently, limiting their usefulness as comparative measures to the Company’s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 (loss) is defined as net income (loss) excluding share-based compensation expenses. Adjusted net income (loss) margin is defined as adjusted net income (loss) as a percentage of the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non-GAAP financial measures, please see the table captioned “Reconciliation of GAAP and Non-GAAP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translations of certain RMB amounts into U.S. dollars (“US$”) at specified rates solely for the convenience of the readers. Unless otherwise stated, all translations from RMB to US$ were made at the rate of RMB 6.7851 to US$ 1.00, the exchange rate in effect as of June 30, 2026, as set forth in the H.10 Statistical release of the Board of Governors of the Federal Reserve System. The Company makes no representation that the RMB or US$ amounts referred could be converted into US$ or RMB, as the case may be, at any particular rate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81100" cy="5905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81100" cy="5905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the business outlook and quotations from management in this announcement, as well as NIU’s strategic and operational plans, contain forward-looking statements. NIU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NIU’s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NIU’s strategies; NIU’s future business development, financial condition and results of operations; NIU’s ability to maintain and enhance its “NIU” brand; its ability to innovate and successfully launch new products and services; its ability to maintain and expand its offline distribution network; its ability to satisfy the mandated safety standards relating to e-scooters; its ability to secure supply of components and raw materials used in e-scooters; its ability to manufacture, launch and sell smart e-scooters meeting customer expectations; its ability to grow collaboration with operation partners; its ability to control costs associated with its operations; general economic and business conditions in China and globally; and assumptions underlying or related to any of the foregoing. Further information regarding these and other risks is included in NIU’s filings with the Securities and Exchange Commission. All information provided in this press release is as of the date of this press release, and NIU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Niu Technologies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ir@niu.com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81100" cy="5905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81100" cy="5905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NIU TECHNOLOGIES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8000" w:type="dxa"/>
        <w:jc w:val="left"/>
        <w:tblInd w:w="0" w:type="dxa"/>
        <w:tblLayout w:type="fixed"/>
        <w:tblCellMar>
          <w:top w:w="0" w:type="dxa"/>
          <w:left w:w="0" w:type="dxa"/>
          <w:bottom w:w="0" w:type="dxa"/>
          <w:right w:w="0" w:type="dxa"/>
        </w:tblCellMar>
      </w:tblPr>
      <w:tblGrid>
        <w:gridCol w:w="3740"/>
        <w:gridCol w:w="60"/>
        <w:gridCol w:w="60"/>
        <w:gridCol w:w="1265"/>
        <w:gridCol w:w="80"/>
        <w:gridCol w:w="60"/>
        <w:gridCol w:w="60"/>
        <w:gridCol w:w="1265"/>
        <w:gridCol w:w="80"/>
        <w:gridCol w:w="60"/>
        <w:gridCol w:w="60"/>
        <w:gridCol w:w="1115"/>
        <w:gridCol w:w="95"/>
      </w:tblGrid>
      <w:tr>
        <w:trPr/>
        <w:tc>
          <w:tcPr>
            <w:tcW w:w="3740" w:type="dxa"/>
            <w:tcBorders/>
            <w:vAlign w:val="center"/>
          </w:tcPr>
          <w:p>
            <w:pPr>
              <w:pStyle w:val="TableContents"/>
              <w:bidi w:val="0"/>
              <w:spacing w:before="0" w:after="283"/>
              <w:jc w:val="center"/>
              <w:rPr>
                <w:rFonts w:eastAsia="Times New Roman;Times;Serif"/>
                <w:b/>
                <w:i w:val="false"/>
                <w:caps w:val="false"/>
                <w:smallCaps w:val="false"/>
                <w:sz w:val="20"/>
              </w:rPr>
            </w:pPr>
            <w:r>
              <w:rPr>
                <w:rFonts w:eastAsia="Times New Roman;Times;Serif"/>
                <w:b/>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924,738,132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1,110,687,626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163,695,100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128,235,695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163,684,645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24,124,132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210,864,000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217,948,800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32,121,678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62,661,176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201,378,393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29,679,503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37,372,044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25,614,431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3,775,100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652,579,651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724,005,489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106,705,205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343,536,572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358,516,518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52,838,796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2,359,987,270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2,801,835,902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412,939,514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both"/>
              <w:rPr>
                <w:rFonts w:eastAsia="Times New Roman;Times;Serif"/>
                <w:b/>
                <w:i w:val="false"/>
                <w:caps w:val="false"/>
                <w:smallCaps w:val="false"/>
                <w:sz w:val="20"/>
              </w:rPr>
            </w:pPr>
            <w:r>
              <w:rPr>
                <w:rFonts w:eastAsia="Times New Roman;Times;Serif"/>
                <w:b/>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420,173,035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477,844,129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70,425,510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776,328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647,946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75,954,225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73,625,396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10,851,041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57,457,432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65,911,662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9,714,177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35,988,114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61,691,720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9,092,234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590,349,134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679,720,853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100,178,457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both"/>
              <w:rPr>
                <w:rFonts w:eastAsia="Times New Roman;Times;Serif"/>
                <w:b/>
                <w:i w:val="false"/>
                <w:caps w:val="false"/>
                <w:smallCaps w:val="false"/>
                <w:sz w:val="20"/>
              </w:rPr>
            </w:pPr>
            <w:r>
              <w:rPr>
                <w:rFonts w:eastAsia="Times New Roman;Times;Serif"/>
                <w:b/>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2,950,336,404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3,481,556,755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513,117,971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both"/>
              <w:rPr>
                <w:rFonts w:eastAsia="Times New Roman;Times;Serif"/>
                <w:b/>
                <w:i w:val="false"/>
                <w:caps w:val="false"/>
                <w:smallCaps w:val="false"/>
                <w:sz w:val="20"/>
              </w:rPr>
            </w:pPr>
            <w:r>
              <w:rPr>
                <w:rFonts w:eastAsia="Times New Roman;Times;Serif"/>
                <w:b/>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bank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32,423,988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394,285,714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446,512,091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65,807,739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704,089,088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1,181,432,822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174,121,652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2,197,710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292,599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from customers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182,598,444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276,119,910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40,695,039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75,148,049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87,631,100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12,915,226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404,813,611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502,901,121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74,118,453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2,003,132,616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2,714,889,643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400,125,221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23,316,175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28,419,705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4,188,546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2,057,892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2,503,606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368,986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3,956,501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2,561,668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377,543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12,941,916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15,035,762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2,215,997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42,272,484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48,520,741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7,151,072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2,045,405,100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2,763,410,384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407,276,293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2,016,533,709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2,026,471,073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298,664,879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(17,990,674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(18,563,857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(2,735,974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(1,093,713,031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(1,289,862,655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(190,102,232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904,931,304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718,146,371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105,841,678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2,950,336,404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3,481,556,755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513,117,971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81100" cy="5905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81100" cy="590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NIU TECHNOLOGIES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INCOME (LOSS)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00"/>
        <w:gridCol w:w="60"/>
        <w:gridCol w:w="60"/>
        <w:gridCol w:w="1265"/>
        <w:gridCol w:w="80"/>
        <w:gridCol w:w="60"/>
        <w:gridCol w:w="60"/>
        <w:gridCol w:w="1265"/>
        <w:gridCol w:w="80"/>
        <w:gridCol w:w="60"/>
        <w:gridCol w:w="60"/>
        <w:gridCol w:w="1115"/>
        <w:gridCol w:w="80"/>
        <w:gridCol w:w="60"/>
        <w:gridCol w:w="60"/>
        <w:gridCol w:w="1265"/>
        <w:gridCol w:w="80"/>
        <w:gridCol w:w="60"/>
        <w:gridCol w:w="60"/>
        <w:gridCol w:w="1265"/>
        <w:gridCol w:w="80"/>
        <w:gridCol w:w="60"/>
        <w:gridCol w:w="60"/>
        <w:gridCol w:w="1115"/>
        <w:gridCol w:w="95"/>
      </w:tblGrid>
      <w:tr>
        <w:trPr/>
        <w:tc>
          <w:tcPr>
            <w:tcW w:w="1700"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1,255,706,686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1,440,376,040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212,285,160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1,937,695,138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2,349,900,402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346,332,464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r>
              <w:rPr>
                <w:rFonts w:ascii="Times New Roman;Times;Serif" w:hAnsi="Times New Roman;Times;Serif"/>
                <w:b w:val="false"/>
                <w:i w:val="false"/>
                <w:caps w:val="false"/>
                <w:smallCaps w:val="false"/>
                <w:position w:val="7"/>
                <w:sz w:val="16"/>
                <w:sz w:val="20"/>
              </w:rPr>
              <w:t>(a)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(1,003,227,265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(1,210,024,641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(178,335,565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(1,567,134,506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(1,961,000,504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(289,015,711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252,479,421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230,351,399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33,949,595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370,560,632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388,899,898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57,316,753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shd w:fill="FFFFFF" w:val="clear"/>
            <w:vAlign w:val="center"/>
          </w:tcPr>
          <w:p>
            <w:pPr>
              <w:pStyle w:val="TableContents"/>
              <w:bidi w:val="0"/>
              <w:spacing w:before="0" w:after="283"/>
              <w:jc w:val="left"/>
              <w:rPr>
                <w:rFonts w:eastAsia="Times New Roman;Times;Serif"/>
                <w:b/>
                <w:i w:val="false"/>
                <w:caps w:val="false"/>
                <w:smallCaps w:val="false"/>
                <w:sz w:val="20"/>
              </w:rPr>
            </w:pPr>
            <w:r>
              <w:rPr>
                <w:rFonts w:eastAsia="Times New Roman;Times;Serif"/>
                <w:b/>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r>
              <w:rPr>
                <w:rFonts w:ascii="Times New Roman;Times;Serif" w:hAnsi="Times New Roman;Times;Serif"/>
                <w:b w:val="false"/>
                <w:i w:val="false"/>
                <w:caps w:val="false"/>
                <w:smallCaps w:val="false"/>
                <w:position w:val="7"/>
                <w:sz w:val="16"/>
                <w:sz w:val="20"/>
              </w:rPr>
              <w:t>(a)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(202,168,443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(238,604,766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(35,165,991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(316,766,358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(418,313,101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(61,651,722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r>
              <w:rPr>
                <w:rFonts w:ascii="Times New Roman;Times;Serif" w:hAnsi="Times New Roman;Times;Serif"/>
                <w:b w:val="false"/>
                <w:i w:val="false"/>
                <w:caps w:val="false"/>
                <w:smallCaps w:val="false"/>
                <w:position w:val="7"/>
                <w:sz w:val="16"/>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(43,716,913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(51,502,155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(7,590,478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(73,518,519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(92,857,894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(13,685,560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r>
              <w:rPr>
                <w:rFonts w:ascii="Times New Roman;Times;Serif" w:hAnsi="Times New Roman;Times;Serif"/>
                <w:b w:val="false"/>
                <w:i w:val="false"/>
                <w:caps w:val="false"/>
                <w:smallCaps w:val="false"/>
                <w:position w:val="7"/>
                <w:sz w:val="16"/>
                <w:sz w:val="20"/>
              </w:rPr>
              <w:t>(a)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(19,057,766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(50,540,174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(7,448,700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(39,708,380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(93,030,885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(13,711,056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(264,943,122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(340,647,095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(50,205,169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(429,993,257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(604,201,880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(89,048,338</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205,895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386,890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778,769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(12,463,701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(110,089,801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(16,225,229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(59,045,735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(214,523,213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(31,616,809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700" w:type="dxa"/>
            <w:tcBorders/>
            <w:shd w:fill="FFFFFF" w:val="clear"/>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(1,556,698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(1,492,487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(219,965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(2,968,020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(2,976,099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(438,623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6,671,638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6,324,890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932,173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13,565,110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11,847,834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1,746,155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681,245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2,143,101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315,854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689,025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2,206,630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325,217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(6,667,516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(103,114,297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(15,197,167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(47,759,620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(203,444,848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(29,984,060</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12,548,000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886,073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14,795,384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7,295,224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1,075,183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5,880,484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(102,228,224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(15,066,576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(32,964,236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(196,149,624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(28,908,877</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700" w:type="dxa"/>
            <w:tcBorders/>
            <w:shd w:fill="CCEEFF" w:val="clear"/>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 net of nil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(7,115,515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(1,360,694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(200,541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(10,110,725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(573,183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(84,477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(1,235,031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(103,588,918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(15,267,117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(43,074,961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(196,722,807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(28,993,354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per ordinary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00" w:type="dxa"/>
            <w:tcBorders/>
            <w:shd w:fill="CCEE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per ADS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shd w:fill="CCEE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00"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ordinary shares and ordinary shares equivalents outstanding used in computing net income (loss) per ordinary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shd w:fill="CCEE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159,670,250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162,195,130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162,195,130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159,500,699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161,941,154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161,941,154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164,767,384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162,195,130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162,195,130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159,500,699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161,941,154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161,941,154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ADS outstanding used in computing net income (loss) per ADS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79,835,125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81,097,565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81,097,565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79,750,350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80,970,577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80,970,577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shd w:fill="CCEE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82,383,692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81,097,565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81,097,565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79,750,350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80,970,577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80,970,577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Includes share-based compensation expenses as follows:</w:t>
      </w:r>
    </w:p>
    <w:p>
      <w:pPr>
        <w:pStyle w:val="TextBody"/>
        <w:bidi w:val="0"/>
        <w:spacing w:before="0" w:after="283"/>
        <w:jc w:val="left"/>
        <w:rPr/>
      </w:pPr>
      <w:r>
        <w:rPr/>
        <w:t> </w:t>
      </w:r>
    </w:p>
    <w:tbl>
      <w:tblPr>
        <w:tblW w:w="9665" w:type="dxa"/>
        <w:jc w:val="left"/>
        <w:tblInd w:w="0" w:type="dxa"/>
        <w:tblLayout w:type="fixed"/>
        <w:tblCellMar>
          <w:top w:w="0" w:type="dxa"/>
          <w:left w:w="0" w:type="dxa"/>
          <w:bottom w:w="0" w:type="dxa"/>
          <w:right w:w="0" w:type="dxa"/>
        </w:tblCellMar>
      </w:tblPr>
      <w:tblGrid>
        <w:gridCol w:w="3545"/>
        <w:gridCol w:w="60"/>
        <w:gridCol w:w="60"/>
        <w:gridCol w:w="845"/>
        <w:gridCol w:w="60"/>
        <w:gridCol w:w="60"/>
        <w:gridCol w:w="60"/>
        <w:gridCol w:w="845"/>
        <w:gridCol w:w="60"/>
        <w:gridCol w:w="60"/>
        <w:gridCol w:w="60"/>
        <w:gridCol w:w="695"/>
        <w:gridCol w:w="60"/>
        <w:gridCol w:w="60"/>
        <w:gridCol w:w="60"/>
        <w:gridCol w:w="950"/>
        <w:gridCol w:w="60"/>
        <w:gridCol w:w="60"/>
        <w:gridCol w:w="60"/>
        <w:gridCol w:w="845"/>
        <w:gridCol w:w="60"/>
        <w:gridCol w:w="60"/>
        <w:gridCol w:w="60"/>
        <w:gridCol w:w="845"/>
        <w:gridCol w:w="7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0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6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223,656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477,164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292,438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1,656,505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1,030,970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151,946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3,318,582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1,958,719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288,679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2,785,623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836,081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123,223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5,412,153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2,737,783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403,499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3,194,639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2,013,816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296,800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6,142,631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4,948,936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729,383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7,860,423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4,024,925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593,201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15,350,530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9,937,876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1,464,661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81100" cy="5905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81100" cy="5905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NIU TECHNOLOGIES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AND NON-GAAP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0"/>
        <w:gridCol w:w="60"/>
        <w:gridCol w:w="60"/>
        <w:gridCol w:w="950"/>
        <w:gridCol w:w="60"/>
        <w:gridCol w:w="60"/>
        <w:gridCol w:w="60"/>
        <w:gridCol w:w="1115"/>
        <w:gridCol w:w="80"/>
        <w:gridCol w:w="60"/>
        <w:gridCol w:w="60"/>
        <w:gridCol w:w="1010"/>
        <w:gridCol w:w="80"/>
        <w:gridCol w:w="60"/>
        <w:gridCol w:w="60"/>
        <w:gridCol w:w="1010"/>
        <w:gridCol w:w="80"/>
        <w:gridCol w:w="60"/>
        <w:gridCol w:w="60"/>
        <w:gridCol w:w="1115"/>
        <w:gridCol w:w="80"/>
        <w:gridCol w:w="60"/>
        <w:gridCol w:w="60"/>
        <w:gridCol w:w="1010"/>
        <w:gridCol w:w="95"/>
      </w:tblGrid>
      <w:tr>
        <w:trPr/>
        <w:tc>
          <w:tcPr>
            <w:tcW w:w="2800"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9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00"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00"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5,880,484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(102,228,224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(15,066,576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(32,964,236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(196,149,624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(28,908,877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7,860,423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4,024,925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593,201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15,350,530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9,937,876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1,464,661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13,740,907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(98,203,299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(14,473,375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(17,613,706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(186,211,748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(27,444,216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3420</Words>
  <Characters>19922</Characters>
  <CharactersWithSpaces>24240</CharactersWithSpaces>
  <Paragraphs>2314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