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65481N100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Glory Achievement Fund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2nd Fl, Strathvale House, 90 N Church St, P.O. Box 1103,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F4, KY1-1102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8610-6432-1899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51,250,157.00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51,250,157.00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51,250,157.00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51,250,157.00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51,250,157.00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51,250,157.00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51,250,157.00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51,250,157.00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51,250,157.00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Niu Technologies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C, Rongxin Technology Center, No. 34 Chuangyuan RD, Chaoyang District, Beijing, CHINA , 100012.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is filed by the undersigned to amend the statement on Schedule 13D,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December 7, 2023, which relates to the Class A ordinary shares of Niu Technologies, a Cayman Islands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represents two Class A ordinary shares of the Issuer.</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Bull Group Limited BULL TRUST</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42"/>
          <w:szCs w:val="42"/>
          <w:color w:val="auto"/>
          <w:vertAlign w:val="subscript"/>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jc w:val="both"/>
        <w:ind w:left="920"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jc w:val="both"/>
        <w:ind w:left="92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right="40" w:firstLine="8"/>
        <w:spacing w:after="0" w:line="281" w:lineRule="auto"/>
        <w:tabs>
          <w:tab w:leader="none" w:pos="9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Cayman Islands Bull Group Limited: Cayman Islands BULL TRUST: Hong Kong Item 3. Source and Amount of Funds or Other Consideration</w:t>
      </w:r>
    </w:p>
    <w:p>
      <w:pPr>
        <w:spacing w:after="0" w:line="2" w:lineRule="exact"/>
        <w:rPr>
          <w:sz w:val="20"/>
          <w:szCs w:val="20"/>
          <w:color w:val="auto"/>
        </w:rPr>
      </w:pPr>
    </w:p>
    <w:p>
      <w:pPr>
        <w:ind w:left="920" w:right="320"/>
        <w:spacing w:after="0" w:line="244" w:lineRule="auto"/>
        <w:rPr>
          <w:sz w:val="20"/>
          <w:szCs w:val="20"/>
          <w:color w:val="auto"/>
        </w:rPr>
      </w:pPr>
      <w:r>
        <w:rPr>
          <w:rFonts w:ascii="Times New Roman" w:cs="Times New Roman" w:eastAsia="Times New Roman" w:hAnsi="Times New Roman"/>
          <w:sz w:val="22"/>
          <w:szCs w:val="22"/>
          <w:color w:val="auto"/>
        </w:rPr>
        <w:t>From November 30, 2023 through July 18, 2025, Glory Achievement Fund Limited purchased a total of 964,111 ADSs (representing 1,928,222 Class A ordinary shares) of the Issuer in the open market for approximately US$2.9 million, using its own working capital. (the "Recent Open-Market Purchases").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0"/>
        <w:spacing w:after="0" w:line="282"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 its entirety. The Recent Open-Market Purchases were made for investment purposes. The Reporting Persons hold the ADSs of the Issuer for investment</w:t>
      </w:r>
    </w:p>
    <w:p>
      <w:pPr>
        <w:sectPr>
          <w:pgSz w:w="11900" w:h="16838" w:orient="portrait"/>
          <w:cols w:equalWidth="0" w:num="1">
            <w:col w:w="11160"/>
          </w:cols>
          <w:pgMar w:left="360" w:top="112" w:right="379" w:bottom="0" w:gutter="0" w:footer="0" w:header="0"/>
        </w:sectPr>
      </w:pPr>
    </w:p>
    <w:bookmarkStart w:id="4" w:name="page5"/>
    <w:bookmarkEnd w:id="4"/>
    <w:p>
      <w:pPr>
        <w:ind w:left="920" w:right="20"/>
        <w:spacing w:after="0" w:line="244" w:lineRule="auto"/>
        <w:rPr>
          <w:sz w:val="20"/>
          <w:szCs w:val="20"/>
          <w:color w:val="auto"/>
        </w:rPr>
      </w:pPr>
      <w:r>
        <w:rPr>
          <w:rFonts w:ascii="Times New Roman" w:cs="Times New Roman" w:eastAsia="Times New Roman" w:hAnsi="Times New Roman"/>
          <w:sz w:val="21"/>
          <w:szCs w:val="21"/>
          <w:color w:val="auto"/>
        </w:rPr>
        <w:t>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hereby incorporated by reference in this Item 5. The percentage of class of securities beneficially owned by the Reporting Person is based on a total of 155,927,944 outstanding ordinary shares (being the sum of 139,385,924 Class A ordinary shares and 16,542,020 Class B ordinary shares) of the Issuer outstanding as a single class as of February 28, 2025, assuming conversion of all Class B ordinary shares into Class A ordinary shares. The percentage of voting</w:t>
      </w:r>
    </w:p>
    <w:p>
      <w:pPr>
        <w:spacing w:after="0" w:line="1" w:lineRule="exact"/>
        <w:rPr>
          <w:sz w:val="20"/>
          <w:szCs w:val="20"/>
          <w:color w:val="auto"/>
        </w:rPr>
      </w:pPr>
    </w:p>
    <w:p>
      <w:pPr>
        <w:ind w:left="920" w:right="6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is calculated by dividing the voting power beneficially owned by the Reporting Person by the voting power of all of the Issuer's outstanding Class A ordinary shares and Class B ordinary shares as a single class as of February 28, 2025.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p>
      <w:pPr>
        <w:spacing w:after="0" w:line="20"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(13) of the cover pages of this Schedule 13D are hereby incorporated by reference in this Item 5.</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the Reporting Persons have not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Xueting Xu_</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Xueting Xu, Director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07/22/2025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WANG Linan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WANG Linan, Authorized Signatory</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07/22/2025</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07/22/2025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BULL TRUST</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WANG Linan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WANG Linan, Authorized Signatory</w:t>
      </w:r>
    </w:p>
    <w:p>
      <w:pPr>
        <w:sectPr>
          <w:pgSz w:w="11900" w:h="16838" w:orient="portrait"/>
          <w:cols w:equalWidth="0" w:num="1">
            <w:col w:w="11140"/>
          </w:cols>
          <w:pgMar w:left="360" w:top="112" w:right="399" w:bottom="0" w:gutter="0" w:footer="0" w:header="0"/>
        </w:sectPr>
      </w:pPr>
    </w:p>
    <w:bookmarkStart w:id="5" w:name="page6"/>
    <w:bookmarkEnd w:id="5"/>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07/22/2025</w:t>
      </w:r>
    </w:p>
    <w:p>
      <w:pPr>
        <w:spacing w:after="0" w:line="153"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Name/Title: LIU Tsz Yin, Authorized Signatory</w:t>
      </w:r>
    </w:p>
    <w:p>
      <w:pPr>
        <w:spacing w:after="0" w:line="56"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07/22/2025</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July 22,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GLORY ACHIEVEMENT FUND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Xueting Xu</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Xueting Xu</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BULL GROUP LIMITED</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WANG Linan and LIU Tsz Yin</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WANG Linan and LIU Tsz Yin</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BULL TRUST</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/s/WANG Linan and LIU Tsz Yin</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WANG Linan and LIU Tsz Yin</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2025-07-22T16:04:34Z</dcterms:created>
  <dcterms:modified xsi:type="dcterms:W3CDTF">2025-07-22T16:04:34Z</dcterms:modified>
</cp:coreProperties>
</file>