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Niu Technologies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Glory Achievement Fund Limited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2nd Fl, Strathvale House, 90 N Church St, P.O. Box 1103, George Town</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Grand Cayman, F4, KY1-1102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8610-6432-1899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Glory Achievement Fund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62,371,755.00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62,371,755.00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62,371,755.00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Bull Group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ISLANDS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62,371,755.00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62,371,755.00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62,371,755.00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BULL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62,371,755.00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62,371,755.00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62,371,755.00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39.8 %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Niu Technologies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Building C, Rongxin Technology Center, No. 34 Chuangyuan RD, Chaoyang District, Beijing, CHINA , 100012.</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to Schedule 13D (this "Amendment No. 6") is filed by Glory Achievement Fund Limited,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Bull Group Limited and BULL TRUST (each, a "Reporting Person" and collectively, the "Reporting Persons")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 and supplement the statement on Schedule 13D originally filed with the SEC on December 7, 2023 (the "Original Schedule 13D"), as subsequently amended by an amendment No. 1 filed on July 22, 2025 (the "Amendment No. 1"), an amendment No. 2 filed on February 2, 2026 (the "Amendment No. 2"), an amendment No.</w:t>
      </w:r>
    </w:p>
    <w:p>
      <w:pPr>
        <w:spacing w:after="0" w:line="1" w:lineRule="exact"/>
        <w:rPr>
          <w:sz w:val="20"/>
          <w:szCs w:val="20"/>
          <w:color w:val="auto"/>
        </w:rPr>
      </w:pPr>
    </w:p>
    <w:p>
      <w:pPr>
        <w:jc w:val="both"/>
        <w:ind w:left="960"/>
        <w:spacing w:after="0" w:line="242" w:lineRule="auto"/>
        <w:rPr>
          <w:sz w:val="20"/>
          <w:szCs w:val="20"/>
          <w:color w:val="auto"/>
        </w:rPr>
      </w:pPr>
      <w:r>
        <w:rPr>
          <w:rFonts w:ascii="Times New Roman" w:cs="Times New Roman" w:eastAsia="Times New Roman" w:hAnsi="Times New Roman"/>
          <w:sz w:val="21"/>
          <w:szCs w:val="21"/>
          <w:color w:val="auto"/>
        </w:rPr>
        <w:t>3 filed on February 11, 2026 (the "Amendment No. 3"), an amendment No. 4 filed on March 4, 2026 (the "Amendment No. 4"), and an amendment No. 5 filed on March 13, 2026 (the "Amendment No. 5", and together with the Original Schedule 13D, the Amendment No. 1, the Amendment No. 2, the Amendment No. 3, and the Amendment No. 4, the "Statement"), relating to the Class A ordinary shares of Niu Technologies, a Cayman Islands company (the "Issuer"), whose principal executive offices are located at Building C, Rongxin Technology Center, No. 34 Chuangyuan Road, Chaoyang District, Beijing, 100012, People's Republic of China. The ordinary shares of the Issuer consist of Class A ordinary shares (including Class A ordinary shares represented by ADSs) and Class B ordinary shares, par value $0.0001 each. Each Class B ordinary share is convertible into one Class A ordinary share at any time by the holder thereof. Class A ordinary shares are not convertible into Class B ordinary shares under any circumstances. The ADSs of the Issuer are listed on The Nasdaq Stock Market under the symbol "NIU." Each ADS represents two Class A ordinary shares of the Issuer. Except as provided herein, this Amendment No. 6 does not modify any of the information previously reported on the Statement. The information set forth in response to each separate Item below shall be deemed to be a response to all Items where such information is relevant.</w:t>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Glory Achievement Fund Limited Bull Group Limited BULL TRUST</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Glory Achievement Fund Limited and Bull Group Limited is a Cayman Islands company with its address at</w:t>
      </w:r>
    </w:p>
    <w:p>
      <w:pPr>
        <w:spacing w:after="0" w:line="14" w:lineRule="exact"/>
        <w:rPr>
          <w:rFonts w:ascii="Times New Roman" w:cs="Times New Roman" w:eastAsia="Times New Roman" w:hAnsi="Times New Roman"/>
          <w:sz w:val="22"/>
          <w:szCs w:val="22"/>
          <w:color w:val="auto"/>
        </w:rPr>
      </w:pPr>
    </w:p>
    <w:p>
      <w:pPr>
        <w:ind w:left="920" w:right="3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2nd Floor, Strathvale House, 90 North Church Street, P.O. Box 1103, George Town, Grand Cayman KY1-1102, Cayman Islands. BULL TRUST is a Hong Kong company with its address at ARK Trust (Hong Kong) Limited as trustee, 34/F, Tower Two, Times Square, 1 Matheson Street, Causeway Bay, Hong Kong.</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Each of Glory Achievement Fund Limited and Bull Group Limited is a Cayman Islands company with its address at</w:t>
      </w:r>
    </w:p>
    <w:p>
      <w:pPr>
        <w:spacing w:after="0" w:line="14" w:lineRule="exact"/>
        <w:rPr>
          <w:rFonts w:ascii="Times New Roman" w:cs="Times New Roman" w:eastAsia="Times New Roman" w:hAnsi="Times New Roman"/>
          <w:sz w:val="42"/>
          <w:szCs w:val="42"/>
          <w:color w:val="auto"/>
          <w:vertAlign w:val="subscript"/>
        </w:rPr>
      </w:pPr>
    </w:p>
    <w:p>
      <w:pPr>
        <w:ind w:left="920" w:right="3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2nd Floor, Strathvale House, 90 North Church Street, P.O. Box 1103, George Town, Grand Cayman KY1-1102, Cayman Islands. BULL TRUST is a Hong Kong company with its address at ARK Trust (Hong Kong) Limited as trustee, 34/F, Tower Two, Times Square, 1 Matheson Street, Causeway Bay, Hong Kong.</w:t>
      </w:r>
    </w:p>
    <w:p>
      <w:pPr>
        <w:spacing w:after="0" w:line="18" w:lineRule="exact"/>
        <w:rPr>
          <w:rFonts w:ascii="Times New Roman" w:cs="Times New Roman" w:eastAsia="Times New Roman" w:hAnsi="Times New Roman"/>
          <w:sz w:val="42"/>
          <w:szCs w:val="42"/>
          <w:color w:val="auto"/>
          <w:vertAlign w:val="subscript"/>
        </w:rPr>
      </w:pPr>
    </w:p>
    <w:p>
      <w:pPr>
        <w:jc w:val="both"/>
        <w:ind w:left="920" w:right="18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During the last five years, none of the Reporting Persons has been: (i) convicted in a criminal proceeding (excluding traffic violations or similar misdemeanors) or (ii) a party to a civil proceeding of a judicial or administrative body of</w:t>
      </w:r>
    </w:p>
    <w:p>
      <w:pPr>
        <w:ind w:left="920" w:right="54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jc w:val="both"/>
        <w:ind w:left="920" w:right="1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has been: (i) convicted in a criminal proceeding (excluding traffic violations or similar misdemeanors) or (ii) a party to a civil proceeding of a judicial or administrative body of</w:t>
      </w:r>
    </w:p>
    <w:p>
      <w:pPr>
        <w:ind w:left="920" w:right="54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1160"/>
          </w:cols>
          <w:pgMar w:left="360" w:top="112" w:right="379" w:bottom="0" w:gutter="0" w:footer="0" w:header="0"/>
        </w:sectPr>
      </w:pPr>
    </w:p>
    <w:bookmarkStart w:id="4" w:name="page5"/>
    <w:bookmarkEnd w:id="4"/>
    <w:p>
      <w:pPr>
        <w:spacing w:after="0" w:line="22" w:lineRule="exact"/>
        <w:rPr>
          <w:sz w:val="20"/>
          <w:szCs w:val="20"/>
          <w:color w:val="auto"/>
        </w:rPr>
      </w:pPr>
    </w:p>
    <w:p>
      <w:pPr>
        <w:ind w:right="20" w:firstLine="8"/>
        <w:spacing w:after="0" w:line="282" w:lineRule="auto"/>
        <w:tabs>
          <w:tab w:leader="none" w:pos="9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Glory Achievement Fund Limited: Cayman Islands Bull Group Limited: Cayman Islands BULL TRUST: Hong Kong Item 3. Source and Amount of Funds or Other Consideration</w:t>
      </w:r>
    </w:p>
    <w:p>
      <w:pPr>
        <w:jc w:val="both"/>
        <w:ind w:left="920" w:right="40"/>
        <w:spacing w:after="0" w:line="244" w:lineRule="auto"/>
        <w:rPr>
          <w:sz w:val="20"/>
          <w:szCs w:val="20"/>
          <w:color w:val="auto"/>
        </w:rPr>
      </w:pPr>
      <w:r>
        <w:rPr>
          <w:rFonts w:ascii="Times New Roman" w:cs="Times New Roman" w:eastAsia="Times New Roman" w:hAnsi="Times New Roman"/>
          <w:sz w:val="22"/>
          <w:szCs w:val="22"/>
          <w:color w:val="auto"/>
        </w:rPr>
        <w:t>From March 13, 2026 through June 12, 2026, Glory Achievement Fund Limited purchased a total of 1,064,110 ADSs (representing 2,128,220 Class A ordinary shares) of the Issuer in the open market for approximately US$2.5 million, using its own working capital (the "Recent Open-Market Purchases").</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The information set forth in Item 3 is hereby incorporated by reference in its entirety. The Recent Open-Market Purchases were made for investment purposes. The Reporting Persons hold the ADSs of the Issuer for investment purposes. They intend to review their shareholding on a regular basis and, as a result thereof, may at any time or from time to time determine, either alone or as part of a group, (i) to acquire additional securities of the Issuer, through open market purchases, privately negotiated transactions or otherwise, (ii) to dispose of all or a portion of the securities of the Issuer owned by it in the open market, in privately negotiated transactions or otherwise or (iii) to take any other available course of action, which could involve one or more of the types of transactions or have one or more of the results described in subparagraphs (a) through (j) of Item 4 of Schedule 13D. Any actions the Reporting Persons might undertake will be dependent upon such Reporting Persons' review of numerous factors, including, among other things, the price levels of the ADSs, general market and economic conditions, ongoing evaluation of the Issuer's business, financial condition, operations and prospects, the relative attractiveness of alternative business and investment opportunities, investor's need for liquidity, and other future developments. Any future acquisitions or dispositions of ADSs will be subject to the Issuer's policies, including its insider trading policy, as applicable. Except as set forth above, none of the Reporting Persons has any present plans or intentions which would result in or relate to any of the transactions described in subparagraphs (a) through (j) of Item 4 of Schedule 13D.</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spacing w:after="0" w:line="246" w:lineRule="auto"/>
        <w:rPr>
          <w:sz w:val="20"/>
          <w:szCs w:val="20"/>
          <w:color w:val="auto"/>
        </w:rPr>
      </w:pPr>
      <w:r>
        <w:rPr>
          <w:rFonts w:ascii="Times New Roman" w:cs="Times New Roman" w:eastAsia="Times New Roman" w:hAnsi="Times New Roman"/>
          <w:sz w:val="21"/>
          <w:szCs w:val="21"/>
          <w:color w:val="auto"/>
        </w:rPr>
        <w:t>The responses of the Reporting Persons to Rows (7) through (13) of the cover pages of this Schedule 13D are hereby incorporated by reference in this Item 5. The percentage of class of securities beneficially owned by the Reporting Person is based on a total of 156,872,176 outstanding ordinary shares (being the sum of 141,650,156 Class A ordinary shares and 15,222,020 Class B ordinary shares) of the Issuer outstanding as a single class as of February 28, 2026, assuming conversion of all Class B ordinary shares into Class A ordinary shares. The percentage of voting</w:t>
      </w:r>
    </w:p>
    <w:p>
      <w:pPr>
        <w:spacing w:after="0" w:line="1" w:lineRule="exact"/>
        <w:rPr>
          <w:sz w:val="20"/>
          <w:szCs w:val="20"/>
          <w:color w:val="auto"/>
        </w:rPr>
      </w:pPr>
    </w:p>
    <w:p>
      <w:pPr>
        <w:ind w:left="920" w:right="6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is calculated by dividing the voting power beneficially owned by the Reporting Person by the voting power of all of the Issuer's outstanding Class A ordinary shares and Class B ordinary shares as a single class as of February 28, 2026. Class B ordinary shares are convertible at any time by the holder thereof into Class A ordinary shares on a one-for-one basis, whereas Class A ordinary shares are not convertible into Class B ordinary shares under any circumstances. Each holder of Class A ordinary shares is entitled to one vote per share and each holder of Class B ordinary shares is entitled to four votes per share on all matters submitted to them for a vote.</w:t>
      </w:r>
    </w:p>
    <w:p>
      <w:pPr>
        <w:spacing w:after="0" w:line="20" w:lineRule="exact"/>
        <w:rPr>
          <w:rFonts w:ascii="Times New Roman" w:cs="Times New Roman" w:eastAsia="Times New Roman" w:hAnsi="Times New Roman"/>
          <w:sz w:val="22"/>
          <w:szCs w:val="22"/>
          <w:color w:val="auto"/>
        </w:rPr>
      </w:pPr>
    </w:p>
    <w:p>
      <w:pPr>
        <w:ind w:left="920" w:right="1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the Reporting Persons to Rows (7) through (13) of the cover pages of this Schedule 13D are hereby incorporated by reference in this Item 5.</w:t>
      </w:r>
    </w:p>
    <w:p>
      <w:pPr>
        <w:spacing w:after="0" w:line="17" w:lineRule="exact"/>
        <w:rPr>
          <w:rFonts w:ascii="Times New Roman" w:cs="Times New Roman" w:eastAsia="Times New Roman" w:hAnsi="Times New Roman"/>
          <w:sz w:val="39"/>
          <w:szCs w:val="39"/>
          <w:color w:val="auto"/>
          <w:vertAlign w:val="subscript"/>
        </w:rPr>
      </w:pPr>
    </w:p>
    <w:p>
      <w:pPr>
        <w:ind w:left="920" w:right="2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in Item 4, the Reporting Persons have not effected any transaction in the ordinary shares of the Issuer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60"/>
        <w:spacing w:after="0" w:line="236" w:lineRule="auto"/>
        <w:rPr>
          <w:sz w:val="20"/>
          <w:szCs w:val="20"/>
          <w:color w:val="auto"/>
        </w:rPr>
      </w:pPr>
      <w:r>
        <w:rPr>
          <w:rFonts w:ascii="Times New Roman" w:cs="Times New Roman" w:eastAsia="Times New Roman" w:hAnsi="Times New Roman"/>
          <w:sz w:val="22"/>
          <w:szCs w:val="22"/>
          <w:color w:val="auto"/>
        </w:rPr>
        <w:t>The information set forth in Item 3 is hereby incorporated by reference in its entirety. To the best knowledge of the Reporting Persons, except as provided herein, there are no other contracts, arrangements, understandings or relationships (legal or otherwise) between the Reporting Persons or between any of the Reporting Persons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Glory Achievement Fund Limited</w:t>
      </w:r>
    </w:p>
    <w:p>
      <w:pPr>
        <w:spacing w:after="0" w:line="152"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Xueting Xu</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Xueting Xu, Director</w:t>
      </w:r>
    </w:p>
    <w:p>
      <w:pPr>
        <w:spacing w:after="0" w:line="44"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Bull Group Limited</w:t>
      </w:r>
    </w:p>
    <w:p>
      <w:pPr>
        <w:spacing w:after="0" w:line="152"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LIU Tsz Yin</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LIU Tsz Yin, Authorized Signatory</w:t>
      </w:r>
    </w:p>
    <w:p>
      <w:pPr>
        <w:spacing w:after="0" w:line="44"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ectPr>
          <w:pgSz w:w="11900" w:h="16860" w:orient="portrait"/>
          <w:cols w:equalWidth="0" w:num="1">
            <w:col w:w="11140"/>
          </w:cols>
          <w:pgMar w:left="360" w:top="112" w:right="399" w:bottom="0" w:gutter="0" w:footer="0" w:header="0"/>
        </w:sectPr>
      </w:pPr>
    </w:p>
    <w:bookmarkStart w:id="5" w:name="page6"/>
    <w:bookmarkEnd w:id="5"/>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LUI Chun Lok</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Name/Title: LUI Chun Lok, Authorized Signatory</w:t>
      </w:r>
    </w:p>
    <w:p>
      <w:pPr>
        <w:spacing w:after="0" w:line="56"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BULL TRUST</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LIU Tsz Yin</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LIU Tsz Yin, Authorized Signatory</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LUI Chun Lok</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Name/Title: LUI Chun Lok, Authorized Signatory</w:t>
      </w:r>
    </w:p>
    <w:p>
      <w:pPr>
        <w:spacing w:after="0" w:line="56"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ectPr>
          <w:pgSz w:w="11900" w:h="16838" w:orient="portrait"/>
          <w:cols w:equalWidth="0" w:num="1">
            <w:col w:w="9019"/>
          </w:cols>
          <w:pgMar w:left="1440" w:top="234"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ordinary shares, par value of $0.0001 per share, of Niu Technologies, a Cayman Islands company,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June 12,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Glory Achievement Fund Limited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Xueting Xu</w:t>
            </w:r>
          </w:p>
        </w:tc>
      </w:tr>
      <w:tr>
        <w:trPr>
          <w:trHeight w:val="191"/>
        </w:trPr>
        <w:tc>
          <w:tcPr>
            <w:tcW w:w="652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Xueting Xu</w:t>
            </w:r>
          </w:p>
        </w:tc>
      </w:tr>
      <w:tr>
        <w:trPr>
          <w:trHeight w:val="234"/>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Bull Group Limited</w:t>
            </w:r>
          </w:p>
        </w:tc>
      </w:tr>
      <w:tr>
        <w:trPr>
          <w:trHeight w:val="648"/>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LIU Tsz Yin and LUI Chun Lok</w:t>
            </w:r>
          </w:p>
        </w:tc>
      </w:tr>
      <w:tr>
        <w:trPr>
          <w:trHeight w:val="191"/>
        </w:trPr>
        <w:tc>
          <w:tcPr>
            <w:tcW w:w="652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LIU Tsz Yin and LUI Chun Lok</w:t>
            </w:r>
          </w:p>
        </w:tc>
      </w:tr>
      <w:tr>
        <w:trPr>
          <w:trHeight w:val="234"/>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Signatories</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BULL TRUST</w:t>
            </w:r>
          </w:p>
        </w:tc>
      </w:tr>
      <w:tr>
        <w:trPr>
          <w:trHeight w:val="648"/>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LIU Tsz Yin and LUI Chun Lok</w:t>
            </w:r>
          </w:p>
        </w:tc>
      </w:tr>
      <w:tr>
        <w:trPr>
          <w:trHeight w:val="191"/>
        </w:trPr>
        <w:tc>
          <w:tcPr>
            <w:tcW w:w="652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LIU Tsz Yin and LUI Chun Lok</w:t>
            </w:r>
          </w:p>
        </w:tc>
      </w:tr>
      <w:tr>
        <w:trPr>
          <w:trHeight w:val="234"/>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Signatories</w:t>
            </w:r>
          </w:p>
        </w:tc>
      </w:tr>
      <w:tr>
        <w:trPr>
          <w:trHeight w:val="675"/>
        </w:trPr>
        <w:tc>
          <w:tcPr>
            <w:tcW w:w="6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6"/>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2026-06-12T05:40:42Z</dcterms:created>
  <dcterms:modified xsi:type="dcterms:W3CDTF">2026-06-12T05:40:42Z</dcterms:modified>
</cp:coreProperties>
</file>