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65481N100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Glory Achievement Fund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2nd Fl, Strathvale House, 90 N Church St, P.O. Box 1103,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F4, KY1-1102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8610-6432-1899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54,412,213.00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54,412,213.00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54,412,213.00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54,412,213.00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54,412,213.00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54,412,213.00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54,412,213.00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54,412,213.00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54,412,213.00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Niu Technologies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C, Rongxin Technology Center, No. 34 Chuangyuan RD, Chaoyang District, Beijing, CHINA , 100012.</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(this "Amendment No. 2") is filed by Glory Achievement Fund Limited,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Bull Group Limited and BULL TRUST (each, a "Reporting Person" and collectively, the "Reporting Persons")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 and supplement the statement on Schedule 13D originally filed with the SEC on December 7, 2023 (the "Original Schedule 13D"), as subsequently amended by an amendment No. 1 filed on July 22, 2025 (the "Amendment No. 1," and together with the Original Schedule 13D, the "Statement"), relating to the Class A ordinary shares of Niu Technologies, a Cayman Islands company (the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 represents two Class A ordinary shares of the Issuer. Except as provided herein, this Amendment No. 2 does not modify any of the information previously reported on the Statement.</w:t>
      </w:r>
    </w:p>
    <w:p>
      <w:pPr>
        <w:spacing w:after="0" w:line="249" w:lineRule="exact"/>
        <w:rPr>
          <w:sz w:val="20"/>
          <w:szCs w:val="20"/>
          <w:color w:val="auto"/>
        </w:rPr>
      </w:pPr>
    </w:p>
    <w:p>
      <w:pPr>
        <w:jc w:val="both"/>
        <w:ind w:left="960"/>
        <w:spacing w:after="0" w:line="237" w:lineRule="auto"/>
        <w:rPr>
          <w:sz w:val="20"/>
          <w:szCs w:val="20"/>
          <w:color w:val="auto"/>
        </w:rPr>
      </w:pPr>
      <w:r>
        <w:rPr>
          <w:rFonts w:ascii="Times New Roman" w:cs="Times New Roman" w:eastAsia="Times New Roman" w:hAnsi="Times New Roman"/>
          <w:sz w:val="22"/>
          <w:szCs w:val="22"/>
          <w:color w:val="auto"/>
        </w:rPr>
        <w:t>The information set forth in response to each separate Item below shall be deemed to be a response to all Items where such information is relevant.</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Bull Group Limited BULL TRUST</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42"/>
          <w:szCs w:val="42"/>
          <w:color w:val="auto"/>
          <w:vertAlign w:val="subscript"/>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jc w:val="both"/>
        <w:ind w:left="920"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jc w:val="both"/>
        <w:ind w:left="92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right="40" w:firstLine="8"/>
        <w:spacing w:after="0" w:line="281" w:lineRule="auto"/>
        <w:tabs>
          <w:tab w:leader="none" w:pos="9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Cayman Islands Bull Group Limited: Cayman Islands BULL TRUST: Hong Kong Item 3. Source and Amount of Funds or Other Consideration</w:t>
      </w:r>
    </w:p>
    <w:p>
      <w:pPr>
        <w:spacing w:after="0" w:line="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July 19, 2025 through January 30, 2026, Glory Achievement Fund Limited purchased a total of 1,581,028</w:t>
      </w:r>
    </w:p>
    <w:p>
      <w:pPr>
        <w:sectPr>
          <w:pgSz w:w="11900" w:h="16887" w:orient="portrait"/>
          <w:cols w:equalWidth="0" w:num="1">
            <w:col w:w="11160"/>
          </w:cols>
          <w:pgMar w:left="360" w:top="112" w:right="379" w:bottom="0" w:gutter="0" w:footer="0" w:header="0"/>
        </w:sectPr>
      </w:pPr>
    </w:p>
    <w:bookmarkStart w:id="4" w:name="page5"/>
    <w:bookmarkEnd w:id="4"/>
    <w:p>
      <w:pPr>
        <w:ind w:left="920" w:right="300"/>
        <w:spacing w:after="0" w:line="256" w:lineRule="auto"/>
        <w:rPr>
          <w:sz w:val="20"/>
          <w:szCs w:val="20"/>
          <w:color w:val="auto"/>
        </w:rPr>
      </w:pPr>
      <w:r>
        <w:rPr>
          <w:rFonts w:ascii="Times New Roman" w:cs="Times New Roman" w:eastAsia="Times New Roman" w:hAnsi="Times New Roman"/>
          <w:sz w:val="22"/>
          <w:szCs w:val="22"/>
          <w:color w:val="auto"/>
        </w:rPr>
        <w:t>ADSs (representing 3,162,056 Class A ordinary shares) of the Issuer in the open market for approximately US$5.5 million, using its own working capital (the "Recent Open-Market Purchases").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 its entirety. The Recent Open-Market Purchases were made for investment purposes. The Reporting Persons hold the ADSs of the Issuer for investment 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hereby incorporated by reference in this Item 5. The percentage of class of securities beneficially owned by the Reporting Person is based on a total of 155,927,944 outstanding ordinary shares (being the sum of 139,385,924 Class A ordinary shares and 16,542,020 Class B ordinary shares) of the Issuer outstanding as a single class as of February 28, 2025, assuming conversion of all Class B ordinary shares into Class A ordinary shares. The percentage of voting</w:t>
      </w:r>
    </w:p>
    <w:p>
      <w:pPr>
        <w:spacing w:after="0" w:line="1" w:lineRule="exact"/>
        <w:rPr>
          <w:sz w:val="20"/>
          <w:szCs w:val="20"/>
          <w:color w:val="auto"/>
        </w:rPr>
      </w:pPr>
    </w:p>
    <w:p>
      <w:pPr>
        <w:ind w:left="920" w:right="6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is calculated by dividing the voting power beneficially owned by the Reporting Person by the voting power of all of the Issuer's outstanding Class A ordinary shares and Class B ordinary shares as a single class as of February 28, 2025.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p>
      <w:pPr>
        <w:spacing w:after="0" w:line="20"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(13) of the cover pages of this Schedule 13D are hereby incorporated by reference in this Item 5.</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the Reporting Persons have not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Xueting Xu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Xueting Xu, Director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02/02/2026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02/02/2026</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LUI Chun Lok, Authorized Signatory</w:t>
      </w:r>
    </w:p>
    <w:p>
      <w:pPr>
        <w:sectPr>
          <w:pgSz w:w="11900" w:h="16838" w:orient="portrait"/>
          <w:cols w:equalWidth="0" w:num="1">
            <w:col w:w="11140"/>
          </w:cols>
          <w:pgMar w:left="360" w:top="112" w:right="399" w:bottom="0" w:gutter="0" w:footer="0" w:header="0"/>
        </w:sectPr>
      </w:pPr>
    </w:p>
    <w:bookmarkStart w:id="5" w:name="page6"/>
    <w:bookmarkEnd w:id="5"/>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02/02/2026</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BULL TRUST</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02/02/2026</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02/02/2026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February 2,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Glory Achievement Fund Limited</w:t>
      </w:r>
    </w:p>
    <w:p>
      <w:pPr>
        <w:spacing w:after="0" w:line="229"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Xueting Xu</w:t>
      </w:r>
    </w:p>
    <w:p>
      <w:pPr>
        <w:spacing w:after="0" w:line="27" w:lineRule="exact"/>
        <w:rPr>
          <w:sz w:val="20"/>
          <w:szCs w:val="20"/>
          <w:color w:val="auto"/>
        </w:rPr>
      </w:pPr>
    </w:p>
    <w:tbl>
      <w:tblPr>
        <w:tblLayout w:type="fixed"/>
        <w:tblInd w:w="5620" w:type="dxa"/>
        <w:tblCellMar>
          <w:top w:w="0" w:type="dxa"/>
          <w:left w:w="0" w:type="dxa"/>
          <w:bottom w:w="0" w:type="dxa"/>
          <w:right w:w="0" w:type="dxa"/>
        </w:tblCellMar>
      </w:tblPr>
      <w:tr>
        <w:trPr>
          <w:trHeight w:val="205"/>
        </w:trPr>
        <w:tc>
          <w:tcPr>
            <w:tcW w:w="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Xueting Xu</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Group Limited</w:t>
      </w:r>
    </w:p>
    <w:p>
      <w:pPr>
        <w:spacing w:after="0" w:line="229"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LIU Tsz Yin and LUI Chun Lok</w:t>
      </w:r>
    </w:p>
    <w:p>
      <w:pPr>
        <w:spacing w:after="0" w:line="27" w:lineRule="exact"/>
        <w:rPr>
          <w:sz w:val="20"/>
          <w:szCs w:val="20"/>
          <w:color w:val="auto"/>
        </w:rPr>
      </w:pPr>
    </w:p>
    <w:tbl>
      <w:tblPr>
        <w:tblLayout w:type="fixed"/>
        <w:tblInd w:w="5620" w:type="dxa"/>
        <w:tblCellMar>
          <w:top w:w="0" w:type="dxa"/>
          <w:left w:w="0" w:type="dxa"/>
          <w:bottom w:w="0" w:type="dxa"/>
          <w:right w:w="0" w:type="dxa"/>
        </w:tblCellMar>
      </w:tblPr>
      <w:tr>
        <w:trPr>
          <w:trHeight w:val="205"/>
        </w:trPr>
        <w:tc>
          <w:tcPr>
            <w:tcW w:w="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TRUST</w:t>
      </w:r>
    </w:p>
    <w:p>
      <w:pPr>
        <w:spacing w:after="0" w:line="229"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LIU Tsz Yin and LUI Chun Lok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ind w:left="56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65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675"/>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2026-02-02T08:04:51Z</dcterms:created>
  <dcterms:modified xsi:type="dcterms:W3CDTF">2026-02-02T08:04:51Z</dcterms:modified>
</cp:coreProperties>
</file>