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0000FF"/>
        </w:rPr>
        <w:t>Niu Technologies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65481N100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Glory Achievement Fund Limited</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2nd Fl, Strathvale House, 90 N Church St, P.O. Box 1103, George Town</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Grand Cayman, F4, KY1-1102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8610-6432-1899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65481N100</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Glory Achievement Fund Limited</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58,681,607.00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58,681,607.00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58,681,607.00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65481N100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Bull Group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CAYMAN ISLANDS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58,681,607.00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58,681,607.00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58,681,607.00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65481N100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BULL TRUST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HONG KONG</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58,681,607.00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58,681,607.00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58,681,607.00</w:t>
      </w:r>
    </w:p>
    <w:p>
      <w:pPr>
        <w:spacing w:after="0" w:line="3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37.6 %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ordinary shares,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Niu Technologies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Building C, Rongxin Technology Center, No. 34 Chuangyuan RD, Chaoyang District, Beijing, CHINA , 100012.</w:t>
      </w:r>
    </w:p>
    <w:p>
      <w:pPr>
        <w:spacing w:after="0" w:line="20" w:lineRule="exact"/>
        <w:rPr>
          <w:sz w:val="20"/>
          <w:szCs w:val="20"/>
          <w:color w:val="auto"/>
        </w:rPr>
      </w:pPr>
    </w:p>
    <w:p>
      <w:pPr>
        <w:jc w:val="right"/>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4 to Schedule 13D (this "Amendment No. 4") is filed by Glory Achievement Fund Limited,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Bull Group Limited and BULL TRUST (each, a "Reporting Person" and collectively, the "Reporting Persons")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amend and supplement the statement on Schedule 13D originally filed with the SEC on December 7, 2023 (the "Original Schedule 13D"), as subsequently amended by an amendment No. 1 filed on July 22, 2025 (the "Amendment No. 1"), an amendment No. 2 filed on February 2, 2026 (the "Amendment No. 2") and an amendment No. 3 filed on February 11, 2026 (the "Amendment No. 3", and together with the Original Schedule 13D, the Amendment No. 1 and the Amendment No. 2, the "Statement"), relating to the Class A ordinary shares of Niu Technologies, a Cayman Islands company (the "Issuer"), whose principal executive offices are located at Building C, Rongxin Technology Center, No. 34 Chuangyuan Road, Chaoyang District, Beijing, 100012, People's Republic of China. The ordinary shares of the Issuer consist of Class A ordinary shares (including Class A ordinary shares represented by ADSs) and Class B ordinary shares, par value $0.0001 each. Each Class B ordinary share is convertible into one Class A ordinary share at any time by the holder thereof. Class A ordinary shares are not convertible into Class B ordinary shares under any circumstances. The ADSs of the Issuer are listed on The Nasdaq Stock Market under the symbol "NIU." Each ADS represents two Class A ordinary shares of the Issuer. Except as provided herein, this Amendment No. 4 does not modify any of the information previously reported on the Statement.</w:t>
      </w:r>
    </w:p>
    <w:p>
      <w:pPr>
        <w:spacing w:after="0" w:line="246" w:lineRule="exact"/>
        <w:rPr>
          <w:sz w:val="20"/>
          <w:szCs w:val="20"/>
          <w:color w:val="auto"/>
        </w:rPr>
      </w:pPr>
    </w:p>
    <w:p>
      <w:pPr>
        <w:jc w:val="both"/>
        <w:ind w:left="960"/>
        <w:spacing w:after="0" w:line="237" w:lineRule="auto"/>
        <w:rPr>
          <w:sz w:val="20"/>
          <w:szCs w:val="20"/>
          <w:color w:val="auto"/>
        </w:rPr>
      </w:pPr>
      <w:r>
        <w:rPr>
          <w:rFonts w:ascii="Times New Roman" w:cs="Times New Roman" w:eastAsia="Times New Roman" w:hAnsi="Times New Roman"/>
          <w:sz w:val="22"/>
          <w:szCs w:val="22"/>
          <w:color w:val="auto"/>
        </w:rPr>
        <w:t>The information set forth in response to each separate Item below shall be deemed to be a response to all Items where such information is relevant.</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Glory Achievement Fund Limited Bull Group Limited BULL TRUST</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Glory Achievement Fund Limited and Bull Group Limited is a Cayman Islands company with its address at</w:t>
      </w:r>
    </w:p>
    <w:p>
      <w:pPr>
        <w:spacing w:after="0" w:line="14" w:lineRule="exact"/>
        <w:rPr>
          <w:rFonts w:ascii="Times New Roman" w:cs="Times New Roman" w:eastAsia="Times New Roman" w:hAnsi="Times New Roman"/>
          <w:sz w:val="22"/>
          <w:szCs w:val="22"/>
          <w:color w:val="auto"/>
        </w:rPr>
      </w:pPr>
    </w:p>
    <w:p>
      <w:pPr>
        <w:ind w:left="920" w:right="38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2nd Floor, Strathvale House, 90 North Church Street, P.O. Box 1103, George Town, Grand Cayman KY1-1102, Cayman Islands. BULL TRUST is a Hong Kong company with its address at ARK Trust (Hong Kong) Limited as trustee, 34/F, Tower Two, Times Square, 1 Matheson Street, Causeway Bay, Hong Kong.</w:t>
      </w:r>
    </w:p>
    <w:p>
      <w:pPr>
        <w:spacing w:after="0" w:line="18"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Each of Glory Achievement Fund Limited and Bull Group Limited is a Cayman Islands company with its address at</w:t>
      </w:r>
    </w:p>
    <w:p>
      <w:pPr>
        <w:spacing w:after="0" w:line="14" w:lineRule="exact"/>
        <w:rPr>
          <w:rFonts w:ascii="Times New Roman" w:cs="Times New Roman" w:eastAsia="Times New Roman" w:hAnsi="Times New Roman"/>
          <w:sz w:val="42"/>
          <w:szCs w:val="42"/>
          <w:color w:val="auto"/>
          <w:vertAlign w:val="subscript"/>
        </w:rPr>
      </w:pPr>
    </w:p>
    <w:p>
      <w:pPr>
        <w:ind w:left="920" w:right="38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2nd Floor, Strathvale House, 90 North Church Street, P.O. Box 1103, George Town, Grand Cayman KY1-1102, Cayman Islands. BULL TRUST is a Hong Kong company with its address at ARK Trust (Hong Kong) Limited as trustee, 34/F, Tower Two, Times Square, 1 Matheson Street, Causeway Bay, Hong Kong.</w:t>
      </w:r>
    </w:p>
    <w:p>
      <w:pPr>
        <w:spacing w:after="0" w:line="18" w:lineRule="exact"/>
        <w:rPr>
          <w:rFonts w:ascii="Times New Roman" w:cs="Times New Roman" w:eastAsia="Times New Roman" w:hAnsi="Times New Roman"/>
          <w:sz w:val="42"/>
          <w:szCs w:val="42"/>
          <w:color w:val="auto"/>
          <w:vertAlign w:val="subscript"/>
        </w:rPr>
      </w:pPr>
    </w:p>
    <w:p>
      <w:pPr>
        <w:jc w:val="both"/>
        <w:ind w:left="920" w:right="180"/>
        <w:spacing w:after="0" w:line="253"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During the last five years, none of the Reporting Persons has been: (i) convicted in a criminal proceeding (excluding traffic violations or similar misdemeanors) or (ii) a party to a civil proceeding of a judicial or administrative body of</w:t>
      </w:r>
    </w:p>
    <w:p>
      <w:pPr>
        <w:ind w:left="920" w:right="540" w:hanging="912"/>
        <w:spacing w:after="0" w:line="235"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jc w:val="both"/>
        <w:ind w:left="920" w:right="18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During the last five years, none of the Reporting Persons has been: (i) convicted in a criminal proceeding (excluding traffic violations or similar misdemeanors) or (ii) a party to a civil proceeding of a judicial or administrative body of</w:t>
      </w:r>
    </w:p>
    <w:p>
      <w:pPr>
        <w:ind w:left="920" w:right="540" w:hanging="912"/>
        <w:spacing w:after="0" w:line="235"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Glory Achievement Fund Limited: Cayman Islands Bull Group Limited: Cayman Islands BULL TRUST: Hong Kong</w:t>
      </w:r>
    </w:p>
    <w:p>
      <w:pPr>
        <w:sectPr>
          <w:pgSz w:w="11900" w:h="16838" w:orient="portrait"/>
          <w:cols w:equalWidth="0" w:num="1">
            <w:col w:w="11160"/>
          </w:cols>
          <w:pgMar w:left="360" w:top="112" w:right="379" w:bottom="0" w:gutter="0" w:footer="0" w:header="0"/>
        </w:sectPr>
      </w:pPr>
    </w:p>
    <w:bookmarkStart w:id="4" w:name="page5"/>
    <w:bookmarkEnd w:id="4"/>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5" w:lineRule="exact"/>
        <w:rPr>
          <w:sz w:val="20"/>
          <w:szCs w:val="20"/>
          <w:color w:val="auto"/>
        </w:rPr>
      </w:pPr>
    </w:p>
    <w:p>
      <w:pPr>
        <w:jc w:val="both"/>
        <w:ind w:left="920" w:right="300"/>
        <w:spacing w:after="0" w:line="244" w:lineRule="auto"/>
        <w:rPr>
          <w:sz w:val="20"/>
          <w:szCs w:val="20"/>
          <w:color w:val="auto"/>
        </w:rPr>
      </w:pPr>
      <w:r>
        <w:rPr>
          <w:rFonts w:ascii="Times New Roman" w:cs="Times New Roman" w:eastAsia="Times New Roman" w:hAnsi="Times New Roman"/>
          <w:sz w:val="22"/>
          <w:szCs w:val="22"/>
          <w:color w:val="auto"/>
        </w:rPr>
        <w:t>From February 10, 2026 through March 3, 2026, Glory Achievement Fund Limited purchased a total of 1,062,931 ADSs (representing 2,125,862 Class A ordinary shares) of the Issuer in the open market for approximately US$3.8 million, using its own working capital (the "Recent Open-Market Purchases").</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20"/>
        <w:spacing w:after="0" w:line="244" w:lineRule="auto"/>
        <w:rPr>
          <w:sz w:val="20"/>
          <w:szCs w:val="20"/>
          <w:color w:val="auto"/>
        </w:rPr>
      </w:pPr>
      <w:r>
        <w:rPr>
          <w:rFonts w:ascii="Times New Roman" w:cs="Times New Roman" w:eastAsia="Times New Roman" w:hAnsi="Times New Roman"/>
          <w:sz w:val="21"/>
          <w:szCs w:val="21"/>
          <w:color w:val="auto"/>
        </w:rPr>
        <w:t>The information set forth in Item 3 is hereby incorporated by reference in its entirety. The Recent Open-Market Purchases were made for investment purposes. The Reporting Persons hold the ADSs of the Issuer for investment purposes. They intend to review their shareholding on a regular basis and, as a result thereof, may at any time or from time to time determine, either alone or as part of a group, (i) to acquire additional securities of the Issuer, through open market purchases, privately negotiated transactions or otherwise, (ii) to dispose of all or a portion of the securities of the Issuer owned by it in the open market, in privately negotiated transactions or otherwise or (iii) to take any other available course of action, which could involve one or more of the types of transactions or have one or more of the results described in subparagraphs (a) through (j) of Item 4 of Schedule 13D. Any actions the Reporting Persons might undertake will be dependent upon such Reporting Persons' review of numerous factors, including, among other things, the price levels of the ADSs, general market and economic conditions, ongoing evaluation of the Issuer's business, financial condition, operations and prospects, the relative attractiveness of alternative business and investment opportunities, investor's need for liquidity, and other future developments. Any future acquisitions or dispositions of ADSs will be subject to the Issuer's policies, including its insider trading policy, as applicable. Except as set forth above, none of the Reporting Persons has any present plans or intentions which would result in or relate to any of the transactions described in subparagraphs (a) through (j) of Item 4 of Schedule 13D.</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80"/>
        <w:spacing w:after="0" w:line="246" w:lineRule="auto"/>
        <w:rPr>
          <w:sz w:val="20"/>
          <w:szCs w:val="20"/>
          <w:color w:val="auto"/>
        </w:rPr>
      </w:pPr>
      <w:r>
        <w:rPr>
          <w:rFonts w:ascii="Times New Roman" w:cs="Times New Roman" w:eastAsia="Times New Roman" w:hAnsi="Times New Roman"/>
          <w:sz w:val="21"/>
          <w:szCs w:val="21"/>
          <w:color w:val="auto"/>
        </w:rPr>
        <w:t>The responses of the Reporting Persons to Rows (7) through (13) of the cover pages of this Schedule 13D are hereby incorporated by reference in this Item 5. The percentage of class of securities beneficially owned by the Reporting Person is based on a total of 155,927,944 outstanding ordinary shares (being the sum of 139,385,924 Class A ordinary shares and 16,542,020 Class B ordinary shares) of the Issuer outstanding as a single class as of February 28, 2025, assuming conversion of all Class B ordinary shares into Class A ordinary shares. The percentage of voting</w:t>
      </w:r>
    </w:p>
    <w:p>
      <w:pPr>
        <w:spacing w:after="0" w:line="1" w:lineRule="exact"/>
        <w:rPr>
          <w:sz w:val="20"/>
          <w:szCs w:val="20"/>
          <w:color w:val="auto"/>
        </w:rPr>
      </w:pPr>
    </w:p>
    <w:p>
      <w:pPr>
        <w:ind w:left="920" w:right="60" w:hanging="912"/>
        <w:spacing w:after="0" w:line="232"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power is calculated by dividing the voting power beneficially owned by the Reporting Person by the voting power of all of the Issuer's outstanding Class A ordinary shares and Class B ordinary shares as a single class as of February 28, 2025. Class B ordinary shares are convertible at any time by the holder thereof into Class A ordinary shares on a one-for-one basis, whereas Class A ordinary shares are not convertible into Class B ordinary shares under any circumstances. Each holder of Class A ordinary shares is entitled to one vote per share and each holder of Class B ordinary shares is entitled to four votes per share on all matters submitted to them for a vote.</w:t>
      </w:r>
    </w:p>
    <w:p>
      <w:pPr>
        <w:spacing w:after="0" w:line="20" w:lineRule="exact"/>
        <w:rPr>
          <w:rFonts w:ascii="Times New Roman" w:cs="Times New Roman" w:eastAsia="Times New Roman" w:hAnsi="Times New Roman"/>
          <w:sz w:val="22"/>
          <w:szCs w:val="22"/>
          <w:color w:val="auto"/>
        </w:rPr>
      </w:pPr>
    </w:p>
    <w:p>
      <w:pPr>
        <w:ind w:left="920" w:right="1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responses of the Reporting Persons to Rows (7) through (13) of the cover pages of this Schedule 13D are hereby incorporated by reference in this Item 5.</w:t>
      </w:r>
    </w:p>
    <w:p>
      <w:pPr>
        <w:spacing w:after="0" w:line="17" w:lineRule="exact"/>
        <w:rPr>
          <w:rFonts w:ascii="Times New Roman" w:cs="Times New Roman" w:eastAsia="Times New Roman" w:hAnsi="Times New Roman"/>
          <w:sz w:val="39"/>
          <w:szCs w:val="39"/>
          <w:color w:val="auto"/>
          <w:vertAlign w:val="subscript"/>
        </w:rPr>
      </w:pPr>
    </w:p>
    <w:p>
      <w:pPr>
        <w:ind w:left="920" w:right="2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described in Item 4, the Reporting Persons have not effected any transaction in the ordinary shares of the Issuer during the past 60 days.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160"/>
        <w:spacing w:after="0" w:line="236" w:lineRule="auto"/>
        <w:rPr>
          <w:sz w:val="20"/>
          <w:szCs w:val="20"/>
          <w:color w:val="auto"/>
        </w:rPr>
      </w:pPr>
      <w:r>
        <w:rPr>
          <w:rFonts w:ascii="Times New Roman" w:cs="Times New Roman" w:eastAsia="Times New Roman" w:hAnsi="Times New Roman"/>
          <w:sz w:val="22"/>
          <w:szCs w:val="22"/>
          <w:color w:val="auto"/>
        </w:rPr>
        <w:t>The information set forth in Item 3 is hereby incorporated by reference in its entirety. To the best knowledge of the Reporting Persons, except as provided herein, there are no other contracts, arrangements, understandings or relationships (legal or otherwise) between the Reporting Persons or between any of the Reporting Persons and any other person with respect to any securities of the Issuer, joint ventures, loan or option arrangements, puts or calls, guarantees of profits, divisions of profits or loss, or the giving or withholding of proxies, or a pledge or contingency, the occurrence of which would give another person voting power over the securities of the Issuer.</w:t>
      </w:r>
    </w:p>
    <w:p>
      <w:pPr>
        <w:spacing w:after="0" w:line="1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Joint Filing Agreement</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Glory Achievement Fund Limited</w:t>
      </w:r>
    </w:p>
    <w:p>
      <w:pPr>
        <w:spacing w:after="0" w:line="152" w:lineRule="exact"/>
        <w:rPr>
          <w:sz w:val="20"/>
          <w:szCs w:val="20"/>
          <w:color w:val="auto"/>
        </w:rPr>
      </w:pPr>
    </w:p>
    <w:p>
      <w:pPr>
        <w:ind w:left="3120"/>
        <w:spacing w:after="0"/>
        <w:tabs>
          <w:tab w:leader="none" w:pos="4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Xueting Xu</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Xueting Xu, Director</w:t>
      </w:r>
    </w:p>
    <w:p>
      <w:pPr>
        <w:spacing w:after="0" w:line="44" w:lineRule="exact"/>
        <w:rPr>
          <w:sz w:val="20"/>
          <w:szCs w:val="20"/>
          <w:color w:val="auto"/>
        </w:rPr>
      </w:pPr>
    </w:p>
    <w:p>
      <w:pPr>
        <w:ind w:left="3120"/>
        <w:spacing w:after="0"/>
        <w:tabs>
          <w:tab w:leader="none" w:pos="4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03/04/2026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Bull Group Limited</w:t>
      </w:r>
    </w:p>
    <w:p>
      <w:pPr>
        <w:spacing w:after="0" w:line="152" w:lineRule="exact"/>
        <w:rPr>
          <w:sz w:val="20"/>
          <w:szCs w:val="20"/>
          <w:color w:val="auto"/>
        </w:rPr>
      </w:pPr>
    </w:p>
    <w:p>
      <w:pPr>
        <w:ind w:left="4320"/>
        <w:spacing w:after="0"/>
        <w:tabs>
          <w:tab w:leader="none" w:pos="5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LIU Tsz Yin</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LIU Tsz Yin, Authorized Signatory</w:t>
      </w:r>
    </w:p>
    <w:p>
      <w:pPr>
        <w:spacing w:after="0" w:line="44" w:lineRule="exact"/>
        <w:rPr>
          <w:sz w:val="20"/>
          <w:szCs w:val="20"/>
          <w:color w:val="auto"/>
        </w:rPr>
      </w:pPr>
    </w:p>
    <w:p>
      <w:pPr>
        <w:ind w:left="4320"/>
        <w:spacing w:after="0"/>
        <w:tabs>
          <w:tab w:leader="none" w:pos="5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03/04/2026</w:t>
      </w:r>
    </w:p>
    <w:p>
      <w:pPr>
        <w:sectPr>
          <w:pgSz w:w="11900" w:h="16838" w:orient="portrait"/>
          <w:cols w:equalWidth="0" w:num="1">
            <w:col w:w="11140"/>
          </w:cols>
          <w:pgMar w:left="360" w:top="112" w:right="399" w:bottom="0" w:gutter="0" w:footer="0" w:header="0"/>
        </w:sectPr>
      </w:pPr>
    </w:p>
    <w:bookmarkStart w:id="5" w:name="page6"/>
    <w:bookmarkEnd w:id="5"/>
    <w:p>
      <w:pPr>
        <w:ind w:left="3460"/>
        <w:spacing w:after="0"/>
        <w:tabs>
          <w:tab w:leader="none" w:pos="4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LUI Chun Lok</w:t>
      </w:r>
    </w:p>
    <w:p>
      <w:pPr>
        <w:spacing w:after="0" w:line="4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1"/>
          <w:szCs w:val="21"/>
          <w:color w:val="auto"/>
        </w:rPr>
        <w:t>Name/Title: LUI Chun Lok, Authorized Signatory</w:t>
      </w:r>
    </w:p>
    <w:p>
      <w:pPr>
        <w:spacing w:after="0" w:line="56" w:lineRule="exact"/>
        <w:rPr>
          <w:sz w:val="20"/>
          <w:szCs w:val="20"/>
          <w:color w:val="auto"/>
        </w:rPr>
      </w:pPr>
    </w:p>
    <w:p>
      <w:pPr>
        <w:ind w:left="3460"/>
        <w:spacing w:after="0"/>
        <w:tabs>
          <w:tab w:leader="none" w:pos="4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03/04/2026</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BULL TRUST</w:t>
      </w:r>
    </w:p>
    <w:p>
      <w:pPr>
        <w:spacing w:after="0" w:line="152" w:lineRule="exact"/>
        <w:rPr>
          <w:sz w:val="20"/>
          <w:szCs w:val="20"/>
          <w:color w:val="auto"/>
        </w:rPr>
      </w:pPr>
    </w:p>
    <w:p>
      <w:pPr>
        <w:ind w:left="3240"/>
        <w:spacing w:after="0"/>
        <w:tabs>
          <w:tab w:leader="none" w:pos="4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LIU Tsz Yin</w:t>
      </w:r>
    </w:p>
    <w:p>
      <w:pPr>
        <w:spacing w:after="0" w:line="4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Name/Title: LIU Tsz Yin, Authorized Signatory</w:t>
      </w:r>
    </w:p>
    <w:p>
      <w:pPr>
        <w:spacing w:after="0" w:line="44" w:lineRule="exact"/>
        <w:rPr>
          <w:sz w:val="20"/>
          <w:szCs w:val="20"/>
          <w:color w:val="auto"/>
        </w:rPr>
      </w:pPr>
    </w:p>
    <w:p>
      <w:pPr>
        <w:ind w:left="3240"/>
        <w:spacing w:after="0"/>
        <w:tabs>
          <w:tab w:leader="none" w:pos="4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03/04/2026</w:t>
      </w:r>
    </w:p>
    <w:p>
      <w:pPr>
        <w:spacing w:after="0" w:line="152" w:lineRule="exact"/>
        <w:rPr>
          <w:sz w:val="20"/>
          <w:szCs w:val="20"/>
          <w:color w:val="auto"/>
        </w:rPr>
      </w:pPr>
    </w:p>
    <w:p>
      <w:pPr>
        <w:ind w:left="3460"/>
        <w:spacing w:after="0"/>
        <w:tabs>
          <w:tab w:leader="none" w:pos="4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LUI Chun Lok</w:t>
      </w:r>
    </w:p>
    <w:p>
      <w:pPr>
        <w:spacing w:after="0" w:line="4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1"/>
          <w:szCs w:val="21"/>
          <w:color w:val="auto"/>
        </w:rPr>
        <w:t>Name/Title: LUI Chun Lok, Authorized Signatory</w:t>
      </w:r>
    </w:p>
    <w:p>
      <w:pPr>
        <w:spacing w:after="0" w:line="56" w:lineRule="exact"/>
        <w:rPr>
          <w:sz w:val="20"/>
          <w:szCs w:val="20"/>
          <w:color w:val="auto"/>
        </w:rPr>
      </w:pPr>
    </w:p>
    <w:p>
      <w:pPr>
        <w:ind w:left="3460"/>
        <w:spacing w:after="0"/>
        <w:tabs>
          <w:tab w:leader="none" w:pos="4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03/04/2026</w:t>
      </w:r>
    </w:p>
    <w:p>
      <w:pPr>
        <w:sectPr>
          <w:pgSz w:w="11900" w:h="16838" w:orient="portrait"/>
          <w:cols w:equalWidth="0" w:num="1">
            <w:col w:w="9019"/>
          </w:cols>
          <w:pgMar w:left="1440" w:top="111" w:right="1440"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Rule 13d-1(k) promulgated under the Securities Exchange Act of 1934, as amended, the undersigned hereby agree to the joint filing with all other Reporting Persons (as such term is defined in the Schedule 13D referred to below) on behalf of each of them of a statement on Schedule 13D (including amendments thereto) with respect to the ordinary shares, par value of $0.0001 per share, of Niu Technologies, a Cayman Islands company, and that this Agreement may be included as an Exhibit to such joint filing. This Agreement may be executed in any number of counterparts, all of which taken together shall constitute one and the same instrument.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hereby execute this Agreement as of March 4, 2026.</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Glory Achievement Fund Limited</w:t>
      </w:r>
    </w:p>
    <w:p>
      <w:pPr>
        <w:spacing w:after="0" w:line="229" w:lineRule="exact"/>
        <w:rPr>
          <w:sz w:val="20"/>
          <w:szCs w:val="20"/>
          <w:color w:val="auto"/>
        </w:rPr>
      </w:pPr>
    </w:p>
    <w:p>
      <w:pPr>
        <w:ind w:left="5620"/>
        <w:spacing w:after="0"/>
        <w:tabs>
          <w:tab w:leader="none" w:pos="650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7"/>
          <w:szCs w:val="17"/>
          <w:color w:val="auto"/>
        </w:rPr>
        <w:t>/s/ Xueting Xu</w:t>
      </w:r>
    </w:p>
    <w:p>
      <w:pPr>
        <w:spacing w:after="0" w:line="27" w:lineRule="exact"/>
        <w:rPr>
          <w:sz w:val="20"/>
          <w:szCs w:val="20"/>
          <w:color w:val="auto"/>
        </w:rPr>
      </w:pPr>
    </w:p>
    <w:tbl>
      <w:tblPr>
        <w:tblLayout w:type="fixed"/>
        <w:tblInd w:w="5620" w:type="dxa"/>
        <w:tblCellMar>
          <w:top w:w="0" w:type="dxa"/>
          <w:left w:w="0" w:type="dxa"/>
          <w:bottom w:w="0" w:type="dxa"/>
          <w:right w:w="0" w:type="dxa"/>
        </w:tblCellMar>
      </w:tblPr>
      <w:tr>
        <w:trPr>
          <w:trHeight w:val="205"/>
        </w:trPr>
        <w:tc>
          <w:tcPr>
            <w:tcW w:w="9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Xueting Xu</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Bull Group Limited</w:t>
      </w:r>
    </w:p>
    <w:p>
      <w:pPr>
        <w:spacing w:after="0" w:line="229" w:lineRule="exact"/>
        <w:rPr>
          <w:sz w:val="20"/>
          <w:szCs w:val="20"/>
          <w:color w:val="auto"/>
        </w:rPr>
      </w:pPr>
    </w:p>
    <w:p>
      <w:pPr>
        <w:ind w:left="5620"/>
        <w:spacing w:after="0"/>
        <w:tabs>
          <w:tab w:leader="none" w:pos="650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7"/>
          <w:szCs w:val="17"/>
          <w:color w:val="auto"/>
        </w:rPr>
        <w:t>/s/ LIU Tsz Yin and LUI Chun Lok</w:t>
      </w:r>
    </w:p>
    <w:p>
      <w:pPr>
        <w:spacing w:after="0" w:line="27" w:lineRule="exact"/>
        <w:rPr>
          <w:sz w:val="20"/>
          <w:szCs w:val="20"/>
          <w:color w:val="auto"/>
        </w:rPr>
      </w:pPr>
    </w:p>
    <w:tbl>
      <w:tblPr>
        <w:tblLayout w:type="fixed"/>
        <w:tblInd w:w="5620" w:type="dxa"/>
        <w:tblCellMar>
          <w:top w:w="0" w:type="dxa"/>
          <w:left w:w="0" w:type="dxa"/>
          <w:bottom w:w="0" w:type="dxa"/>
          <w:right w:w="0" w:type="dxa"/>
        </w:tblCellMar>
      </w:tblPr>
      <w:tr>
        <w:trPr>
          <w:trHeight w:val="205"/>
        </w:trPr>
        <w:tc>
          <w:tcPr>
            <w:tcW w:w="9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LIU Tsz Yin and LUI Chun Lok</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Signatories</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BULL TRUST</w:t>
      </w:r>
    </w:p>
    <w:p>
      <w:pPr>
        <w:spacing w:after="0" w:line="229" w:lineRule="exact"/>
        <w:rPr>
          <w:sz w:val="20"/>
          <w:szCs w:val="20"/>
          <w:color w:val="auto"/>
        </w:rPr>
      </w:pPr>
    </w:p>
    <w:p>
      <w:pPr>
        <w:ind w:left="5620"/>
        <w:spacing w:after="0"/>
        <w:tabs>
          <w:tab w:leader="none" w:pos="650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7"/>
          <w:szCs w:val="17"/>
          <w:color w:val="auto"/>
        </w:rPr>
        <w:t>/s/ LIU Tsz Yin and LUI Chun Lok</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520" w:type="dxa"/>
            <w:vAlign w:val="bottom"/>
          </w:tcPr>
          <w:p>
            <w:pPr>
              <w:ind w:left="56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LIU Tsz Yin and LUI Chun Lok</w:t>
            </w:r>
          </w:p>
        </w:tc>
      </w:tr>
      <w:tr>
        <w:trPr>
          <w:trHeight w:val="234"/>
        </w:trPr>
        <w:tc>
          <w:tcPr>
            <w:tcW w:w="652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Signatories</w:t>
            </w:r>
          </w:p>
        </w:tc>
      </w:tr>
      <w:tr>
        <w:trPr>
          <w:trHeight w:val="675"/>
        </w:trPr>
        <w:tc>
          <w:tcPr>
            <w:tcW w:w="65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2026-03-04T07:07:26Z</dcterms:created>
  <dcterms:modified xsi:type="dcterms:W3CDTF">2026-03-04T07:07:26Z</dcterms:modified>
</cp:coreProperties>
</file>