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51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5173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Ye Changqing</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03/02/2026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Niu Technologies</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NIU</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117"/>
        <w:spacing w:after="0" w:line="275" w:lineRule="auto"/>
        <w:rPr>
          <w:sz w:val="20"/>
          <w:szCs w:val="20"/>
          <w:color w:val="auto"/>
        </w:rPr>
      </w:pPr>
      <w:r>
        <w:rPr>
          <w:rFonts w:ascii="Times New Roman" w:cs="Times New Roman" w:eastAsia="Times New Roman" w:hAnsi="Times New Roman"/>
          <w:sz w:val="20"/>
          <w:szCs w:val="20"/>
          <w:color w:val="0000FF"/>
        </w:rPr>
        <w:t>FLAT B, 36/F, HARBOUR GREEN, 8 SHAM</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MONG ROAD, TAI KOK TSUI</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KOWLOON K3</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r>
              <w:rPr>
                <w:rFonts w:ascii="Times New Roman" w:cs="Times New Roman" w:eastAsia="Times New Roman" w:hAnsi="Times New Roman"/>
                <w:sz w:val="25"/>
                <w:szCs w:val="25"/>
                <w:color w:val="008000"/>
                <w:vertAlign w:val="superscript"/>
              </w:rPr>
              <w:t>(1)</w:t>
            </w:r>
          </w:p>
        </w:tc>
        <w:tc>
          <w:tcPr>
            <w:tcW w:w="24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ind w:left="620"/>
              <w:spacing w:after="0"/>
              <w:rPr>
                <w:sz w:val="20"/>
                <w:szCs w:val="20"/>
                <w:color w:val="auto"/>
              </w:rPr>
            </w:pPr>
            <w:r>
              <w:rPr>
                <w:rFonts w:ascii="Times New Roman" w:cs="Times New Roman" w:eastAsia="Times New Roman" w:hAnsi="Times New Roman"/>
                <w:sz w:val="20"/>
                <w:szCs w:val="20"/>
                <w:color w:val="0000FF"/>
              </w:rPr>
              <w:t>50,000</w:t>
            </w:r>
            <w:r>
              <w:rPr>
                <w:rFonts w:ascii="Times New Roman" w:cs="Times New Roman" w:eastAsia="Times New Roman" w:hAnsi="Times New Roman"/>
                <w:sz w:val="25"/>
                <w:szCs w:val="25"/>
                <w:color w:val="008000"/>
                <w:vertAlign w:val="superscript"/>
              </w:rPr>
              <w:t>(1)</w:t>
            </w:r>
          </w:p>
        </w:tc>
        <w:tc>
          <w:tcPr>
            <w:tcW w:w="98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5520" w:type="dxa"/>
            <w:vAlign w:val="bottom"/>
            <w:tcBorders>
              <w:top w:val="single" w:sz="8" w:color="2C2C2C"/>
            </w:tcBorders>
            <w:gridSpan w:val="6"/>
          </w:tcPr>
          <w:p>
            <w:pPr>
              <w:ind w:left="16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4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20" w:type="dxa"/>
            <w:vAlign w:val="bottom"/>
          </w:tcPr>
          <w:p>
            <w:pPr>
              <w:spacing w:after="0"/>
              <w:rPr>
                <w:sz w:val="14"/>
                <w:szCs w:val="14"/>
                <w:color w:val="auto"/>
              </w:rPr>
            </w:pPr>
          </w:p>
        </w:tc>
        <w:tc>
          <w:tcPr>
            <w:tcW w:w="980" w:type="dxa"/>
            <w:vAlign w:val="bottom"/>
            <w:gridSpan w:val="2"/>
          </w:tcPr>
          <w:p>
            <w:pPr>
              <w:ind w:left="16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160"/>
              <w:spacing w:after="0"/>
              <w:rPr>
                <w:sz w:val="20"/>
                <w:szCs w:val="20"/>
                <w:color w:val="auto"/>
              </w:rPr>
            </w:pPr>
            <w:r>
              <w:rPr>
                <w:rFonts w:ascii="Arial" w:cs="Arial" w:eastAsia="Arial" w:hAnsi="Arial"/>
                <w:sz w:val="15"/>
                <w:szCs w:val="15"/>
                <w:b w:val="1"/>
                <w:bCs w:val="1"/>
                <w:color w:val="auto"/>
              </w:rPr>
              <w:t>of 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2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right"/>
              <w:ind w:right="309"/>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Pr>
          <w:p>
            <w:pPr>
              <w:ind w:left="240"/>
              <w:spacing w:after="0"/>
              <w:rPr>
                <w:sz w:val="20"/>
                <w:szCs w:val="20"/>
                <w:color w:val="auto"/>
              </w:rPr>
            </w:pPr>
            <w:r>
              <w:rPr>
                <w:rFonts w:ascii="Times New Roman" w:cs="Times New Roman" w:eastAsia="Times New Roman" w:hAnsi="Times New Roman"/>
                <w:sz w:val="20"/>
                <w:szCs w:val="20"/>
                <w:color w:val="0000FF"/>
              </w:rPr>
              <w:t>Class A ordinary</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20"/>
                <w:szCs w:val="20"/>
                <w:color w:val="0000FF"/>
                <w:w w:val="99"/>
              </w:rPr>
              <w:t>40,000</w:t>
            </w:r>
            <w:r>
              <w:rPr>
                <w:rFonts w:ascii="Times New Roman" w:cs="Times New Roman" w:eastAsia="Times New Roman" w:hAnsi="Times New Roman"/>
                <w:sz w:val="25"/>
                <w:szCs w:val="25"/>
                <w:color w:val="008000"/>
                <w:w w:val="99"/>
                <w:vertAlign w:val="superscript"/>
              </w:rPr>
              <w:t>(2)</w:t>
            </w:r>
          </w:p>
        </w:tc>
        <w:tc>
          <w:tcPr>
            <w:tcW w:w="60" w:type="dxa"/>
            <w:vAlign w:val="bottom"/>
          </w:tcPr>
          <w:p>
            <w:pPr>
              <w:spacing w:after="0"/>
              <w:rPr>
                <w:sz w:val="24"/>
                <w:szCs w:val="24"/>
                <w:color w:val="auto"/>
              </w:rPr>
            </w:pP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8000"/>
              </w:rPr>
              <w:t>(3)</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760" w:type="dxa"/>
            <w:vAlign w:val="bottom"/>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720" w:type="dxa"/>
            <w:vAlign w:val="bottom"/>
            <w:vMerge w:val="restart"/>
          </w:tcPr>
          <w:p>
            <w:pPr>
              <w:ind w:left="660"/>
              <w:spacing w:after="0"/>
              <w:rPr>
                <w:sz w:val="20"/>
                <w:szCs w:val="20"/>
                <w:color w:val="auto"/>
              </w:rPr>
            </w:pPr>
            <w:r>
              <w:rPr>
                <w:rFonts w:ascii="Times New Roman" w:cs="Times New Roman" w:eastAsia="Times New Roman" w:hAnsi="Times New Roman"/>
                <w:sz w:val="20"/>
                <w:szCs w:val="20"/>
                <w:color w:val="0000FF"/>
              </w:rPr>
              <w:t>shares</w:t>
            </w:r>
          </w:p>
        </w:tc>
        <w:tc>
          <w:tcPr>
            <w:tcW w:w="9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American depositary share ("ADS") represents two (2) Class A ordinary shares, with a par value of US$0.0001 per share, of Niu Technologies (the "Company").</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40,000 unvested restricted share units ("RSUs") were granted to the reporting person on October 19, 2024 pursuant to the Company's 2018 Share Incentive Plan, and will vest on October 19, 2026.</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RSU represents the contingent right to receive one (1) Class A ordinary shares of the Company upon vesting.</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/s/ Changqing Ye</w:t>
            </w:r>
          </w:p>
        </w:tc>
        <w:tc>
          <w:tcPr>
            <w:tcW w:w="8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03/04/2026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68607" TargetMode="External"/><Relationship Id="rId11" Type="http://schemas.openxmlformats.org/officeDocument/2006/relationships/hyperlink" Target="http://www.sec.gov/cgi-bin/browse-edgar?action=getcompany&amp;CIK=00017447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2026-03-04T07:33:55Z</dcterms:created>
  <dcterms:modified xsi:type="dcterms:W3CDTF">2026-03-04T07:33:55Z</dcterms:modified>
</cp:coreProperties>
</file>