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0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00090"/>
                    </a:xfrm>
                    <a:prstGeom prst="rect">
                      <a:avLst/>
                    </a:prstGeom>
                    <a:noFill/>
                  </pic:spPr>
                </pic:pic>
              </a:graphicData>
            </a:graphic>
          </wp:anchor>
        </w:drawing>
      </w:r>
    </w:p>
    <w:p>
      <w:pPr>
        <w:sectPr>
          <w:pgSz w:w="11900" w:h="16838" w:orient="portrait"/>
          <w:cols w:equalWidth="0" w:num="1">
            <w:col w:w="10940"/>
          </w:cols>
          <w:pgMar w:left="480" w:top="230" w:right="479" w:bottom="52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Zhou Fion Wenjuan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00" w:type="dxa"/>
            <w:vAlign w:val="bottom"/>
            <w:tcBorders>
              <w:top w:val="single" w:sz="8" w:color="0000EE"/>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Niu Technologies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NIU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52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23F BUILDING C RONGXIN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TECHNOLOGY CENTER</w:t>
      </w:r>
    </w:p>
    <w:p>
      <w:pPr>
        <w:spacing w:after="0" w:line="56" w:lineRule="exact"/>
        <w:rPr>
          <w:sz w:val="24"/>
          <w:szCs w:val="24"/>
          <w:color w:val="auto"/>
        </w:rPr>
      </w:pPr>
    </w:p>
    <w:p>
      <w:pPr>
        <w:ind w:left="140" w:right="1517"/>
        <w:spacing w:after="0" w:line="332" w:lineRule="auto"/>
        <w:rPr>
          <w:sz w:val="20"/>
          <w:szCs w:val="20"/>
          <w:color w:val="auto"/>
        </w:rPr>
      </w:pPr>
      <w:r>
        <w:rPr>
          <w:rFonts w:ascii="Times New Roman" w:cs="Times New Roman" w:eastAsia="Times New Roman" w:hAnsi="Times New Roman"/>
          <w:sz w:val="18"/>
          <w:szCs w:val="18"/>
          <w:color w:val="0000FF"/>
        </w:rPr>
        <w:t>NO. 34 CHUANGYUAN ROAD CHAOYANG DISTRICT</w:t>
      </w:r>
    </w:p>
    <w:p>
      <w:pPr>
        <w:spacing w:after="0" w:line="22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   F4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100012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52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5"/>
                <w:szCs w:val="15"/>
                <w:b w:val="1"/>
                <w:bCs w:val="1"/>
                <w:color w:val="auto"/>
                <w:w w:val="99"/>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2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(1)</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119,284</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180" w:type="dxa"/>
            <w:vAlign w:val="bottom"/>
            <w:tcBorders>
              <w:top w:val="single" w:sz="8" w:color="2C2C2C"/>
            </w:tcBorders>
            <w:gridSpan w:val="6"/>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vMerge w:val="continue"/>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1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1"/>
              </w:rPr>
              <w:t>90,000</w:t>
            </w:r>
            <w:r>
              <w:rPr>
                <w:rFonts w:ascii="Times New Roman" w:cs="Times New Roman" w:eastAsia="Times New Roman" w:hAnsi="Times New Roman"/>
                <w:sz w:val="25"/>
                <w:szCs w:val="25"/>
                <w:color w:val="008000"/>
                <w:w w:val="91"/>
                <w:vertAlign w:val="superscript"/>
              </w:rPr>
              <w:t>(2)</w:t>
            </w:r>
          </w:p>
        </w:tc>
        <w:tc>
          <w:tcPr>
            <w:tcW w:w="40" w:type="dxa"/>
            <w:vAlign w:val="bottom"/>
          </w:tcPr>
          <w:p>
            <w:pPr>
              <w:spacing w:after="0"/>
              <w:rPr>
                <w:sz w:val="24"/>
                <w:szCs w:val="24"/>
                <w:color w:val="auto"/>
              </w:rPr>
            </w:pP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380" w:type="dxa"/>
            <w:vAlign w:val="bottom"/>
          </w:tcPr>
          <w:p>
            <w:pPr>
              <w:spacing w:after="0"/>
              <w:rPr>
                <w:sz w:val="24"/>
                <w:szCs w:val="24"/>
                <w:color w:val="auto"/>
              </w:rPr>
            </w:pP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1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2"/>
              </w:rPr>
              <w:t>225,000</w:t>
            </w:r>
            <w:r>
              <w:rPr>
                <w:rFonts w:ascii="Times New Roman" w:cs="Times New Roman" w:eastAsia="Times New Roman" w:hAnsi="Times New Roman"/>
                <w:sz w:val="25"/>
                <w:szCs w:val="25"/>
                <w:color w:val="008000"/>
                <w:w w:val="92"/>
                <w:vertAlign w:val="superscript"/>
              </w:rPr>
              <w:t>(4)</w:t>
            </w:r>
          </w:p>
        </w:tc>
        <w:tc>
          <w:tcPr>
            <w:tcW w:w="40" w:type="dxa"/>
            <w:vAlign w:val="bottom"/>
          </w:tcPr>
          <w:p>
            <w:pPr>
              <w:spacing w:after="0"/>
              <w:rPr>
                <w:sz w:val="24"/>
                <w:szCs w:val="24"/>
                <w:color w:val="auto"/>
              </w:rPr>
            </w:pP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380" w:type="dxa"/>
            <w:vAlign w:val="bottom"/>
          </w:tcPr>
          <w:p>
            <w:pPr>
              <w:spacing w:after="0"/>
              <w:rPr>
                <w:sz w:val="24"/>
                <w:szCs w:val="24"/>
                <w:color w:val="auto"/>
              </w:rPr>
            </w:pP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1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2"/>
              </w:rPr>
              <w:t>150,000</w:t>
            </w:r>
            <w:r>
              <w:rPr>
                <w:rFonts w:ascii="Times New Roman" w:cs="Times New Roman" w:eastAsia="Times New Roman" w:hAnsi="Times New Roman"/>
                <w:sz w:val="25"/>
                <w:szCs w:val="25"/>
                <w:color w:val="008000"/>
                <w:w w:val="92"/>
                <w:vertAlign w:val="superscript"/>
              </w:rPr>
              <w:t>(5)</w:t>
            </w:r>
          </w:p>
        </w:tc>
        <w:tc>
          <w:tcPr>
            <w:tcW w:w="40" w:type="dxa"/>
            <w:vAlign w:val="bottom"/>
          </w:tcPr>
          <w:p>
            <w:pPr>
              <w:spacing w:after="0"/>
              <w:rPr>
                <w:sz w:val="24"/>
                <w:szCs w:val="24"/>
                <w:color w:val="auto"/>
              </w:rPr>
            </w:pP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380" w:type="dxa"/>
            <w:vAlign w:val="bottom"/>
          </w:tcPr>
          <w:p>
            <w:pPr>
              <w:spacing w:after="0"/>
              <w:rPr>
                <w:sz w:val="24"/>
                <w:szCs w:val="24"/>
                <w:color w:val="auto"/>
              </w:rPr>
            </w:pP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two (2) Class A ordinary shares, with a par value of US$0.0001 per share, of Niu Technologies (the "Company").</w:t>
      </w:r>
    </w:p>
    <w:p>
      <w:pPr>
        <w:spacing w:after="0" w:line="52"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90,000 unvested restricted share units ("RSUs") were granted to the reporting person pursuant to the Company's 2018 Share Incentive Plan (the "2018 Plan") on March 15, 2022, and will vest on March 15, 2026.</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contingent right to receive one (1) Class A ordinary shares of the Company upon vesting.</w:t>
      </w:r>
    </w:p>
    <w:p>
      <w:pPr>
        <w:spacing w:after="0" w:line="52"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225,000 unvested RSUs were granted to the reporting person pursuant to the 2018 Plan on January 10, 2025, and will vest in three equal annual installments of 75,000 RSUs each on January 10, 2027, January 10, 2028 and January 10, 2029, respectively.</w:t>
      </w:r>
    </w:p>
    <w:p>
      <w:pPr>
        <w:spacing w:after="0" w:line="17" w:lineRule="exact"/>
        <w:rPr>
          <w:rFonts w:ascii="Times New Roman" w:cs="Times New Roman" w:eastAsia="Times New Roman" w:hAnsi="Times New Roman"/>
          <w:sz w:val="15"/>
          <w:szCs w:val="15"/>
          <w:color w:val="008000"/>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150,000 unvested RSUs were granted to the reporting person pursuant to the 2018 Plan on January 20, 2026, and will vest in four equal annual installments of 37,500 RSUs each on January 20, 2027, January 20, 2028, January 20, 2029 and January 20, 2030, respectively.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Fion Wenjuan Zhou</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03/06/2026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0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5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68457" TargetMode="External"/><Relationship Id="rId11" Type="http://schemas.openxmlformats.org/officeDocument/2006/relationships/hyperlink" Target="http://www.sec.gov/cgi-bin/browse-edgar?action=getcompany&amp;CIK=000174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2026-03-06T06:58:43Z</dcterms:created>
  <dcterms:modified xsi:type="dcterms:W3CDTF">2026-03-06T06:58:43Z</dcterms:modified>
</cp:coreProperties>
</file>