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7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9"/>
          <w:szCs w:val="29"/>
          <w:b w:val="1"/>
          <w:bCs w:val="1"/>
          <w:color w:val="auto"/>
        </w:rPr>
        <w:t>FORM 6-K</w:t>
      </w:r>
    </w:p>
    <w:p>
      <w:pPr>
        <w:spacing w:after="0" w:line="22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REPORT OF FOREIGN PRIVATE ISSUER</w:t>
      </w:r>
    </w:p>
    <w:p>
      <w:pPr>
        <w:spacing w:after="0" w:line="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PURSUANT TO RULE 13a-16 OR 15d-16 UNDER</w:t>
      </w: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191"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18"/>
          <w:szCs w:val="18"/>
          <w:color w:val="auto"/>
        </w:rPr>
        <w:t>For the month of May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188595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56"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18"/>
          <w:szCs w:val="18"/>
          <w:color w:val="auto"/>
        </w:rPr>
        <w:t>Commission File Number: 001-38696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188595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9"/>
          <w:szCs w:val="29"/>
          <w:b w:val="1"/>
          <w:bCs w:val="1"/>
          <w:color w:val="auto"/>
        </w:rPr>
        <w:t>NIU TECHNOLOGIES</w:t>
      </w:r>
    </w:p>
    <w:p>
      <w:pPr>
        <w:spacing w:after="0" w:line="24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23/F, Building C, Rongxin Technology Center,</w:t>
      </w:r>
    </w:p>
    <w:p>
      <w:pPr>
        <w:spacing w:after="0" w:line="2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No. 34 Chuangyuan Road,</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Chaoyang District, Beijing 100012</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People’s Republic of China</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4140"/>
        <w:spacing w:after="0" w:line="207" w:lineRule="exact"/>
        <w:tabs>
          <w:tab w:leader="none" w:pos="5260" w:val="left"/>
          <w:tab w:leader="none" w:pos="5780" w:val="left"/>
          <w:tab w:leader="none" w:pos="6920" w:val="left"/>
        </w:tabs>
        <w:rPr>
          <w:sz w:val="20"/>
          <w:szCs w:val="20"/>
          <w:color w:val="auto"/>
        </w:rPr>
      </w:pPr>
      <w:r>
        <w:rPr>
          <w:rFonts w:ascii="Times New Roman" w:cs="Times New Roman" w:eastAsia="Times New Roman" w:hAnsi="Times New Roman"/>
          <w:sz w:val="18"/>
          <w:szCs w:val="18"/>
          <w:color w:val="auto"/>
        </w:rPr>
        <w:t>Form 20-F</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Form 40-F</w:t>
      </w:r>
      <w:r>
        <w:rPr>
          <w:sz w:val="20"/>
          <w:szCs w:val="20"/>
          <w:color w:val="auto"/>
        </w:rPr>
        <w:tab/>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240665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549275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1" w:name="page2"/>
    <w:bookmarkEnd w:id="1"/>
    <w:p>
      <w:pPr>
        <w:jc w:val="right"/>
        <w:ind w:right="4019"/>
        <w:spacing w:after="0"/>
        <w:rPr>
          <w:sz w:val="20"/>
          <w:szCs w:val="20"/>
          <w:color w:val="auto"/>
        </w:rPr>
      </w:pPr>
      <w:r>
        <w:rPr>
          <w:rFonts w:ascii="Times New Roman" w:cs="Times New Roman" w:eastAsia="Times New Roman" w:hAnsi="Times New Roman"/>
          <w:sz w:val="18"/>
          <w:szCs w:val="18"/>
          <w:u w:val="single" w:color="auto"/>
          <w:color w:val="auto"/>
        </w:rPr>
        <w:t>Exhibit Index</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Exhibit 99.1—Press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NIU TECHNOLOGIES</w:t>
      </w:r>
    </w:p>
    <w:p>
      <w:pPr>
        <w:spacing w:after="0" w:line="225"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Fion Zhou</w:t>
            </w:r>
          </w:p>
        </w:tc>
      </w:tr>
      <w:tr>
        <w:trPr>
          <w:trHeight w:val="191"/>
        </w:trPr>
        <w:tc>
          <w:tcPr>
            <w:tcW w:w="5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280" w:type="dxa"/>
            <w:vAlign w:val="bottom"/>
          </w:tcPr>
          <w:p>
            <w:pPr>
              <w:jc w:val="right"/>
              <w:ind w:right="70"/>
              <w:spacing w:after="0" w:line="191" w:lineRule="exact"/>
              <w:rPr>
                <w:sz w:val="20"/>
                <w:szCs w:val="20"/>
                <w:color w:val="auto"/>
              </w:rPr>
            </w:pPr>
            <w:r>
              <w:rPr>
                <w:rFonts w:ascii="Times New Roman" w:cs="Times New Roman" w:eastAsia="Times New Roman" w:hAnsi="Times New Roman"/>
                <w:sz w:val="18"/>
                <w:szCs w:val="18"/>
                <w:color w:val="auto"/>
              </w:rPr>
              <w:t>:</w:t>
            </w:r>
          </w:p>
        </w:tc>
        <w:tc>
          <w:tcPr>
            <w:tcW w:w="48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Fion Zhou</w:t>
            </w:r>
          </w:p>
        </w:tc>
      </w:tr>
      <w:tr>
        <w:trPr>
          <w:trHeight w:val="23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Director and Chief Financial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3056890</wp:posOffset>
            </wp:positionH>
            <wp:positionV relativeFrom="paragraph">
              <wp:posOffset>156845</wp:posOffset>
            </wp:positionV>
            <wp:extent cx="1028700" cy="4883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28700"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Niu Technologies Announces Unaudited First Quarter 2026 Financial Results</w:t>
      </w:r>
    </w:p>
    <w:p>
      <w:pPr>
        <w:spacing w:after="0" w:line="227" w:lineRule="exact"/>
        <w:rPr>
          <w:sz w:val="20"/>
          <w:szCs w:val="20"/>
          <w:color w:val="auto"/>
        </w:rPr>
      </w:pPr>
    </w:p>
    <w:p>
      <w:pPr>
        <w:ind w:left="3120" w:hanging="167"/>
        <w:spacing w:after="0"/>
        <w:tabs>
          <w:tab w:leader="none" w:pos="3120" w:val="left"/>
        </w:tabs>
        <w:numPr>
          <w:ilvl w:val="1"/>
          <w:numId w:val="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First Quarter Revenues of RMB 909.5 million, up 33.4% year over year</w:t>
      </w:r>
    </w:p>
    <w:p>
      <w:pPr>
        <w:spacing w:after="0" w:line="225" w:lineRule="exact"/>
        <w:rPr>
          <w:rFonts w:ascii="Times New Roman" w:cs="Times New Roman" w:eastAsia="Times New Roman" w:hAnsi="Times New Roman"/>
          <w:sz w:val="18"/>
          <w:szCs w:val="18"/>
          <w:i w:val="1"/>
          <w:iCs w:val="1"/>
          <w:color w:val="auto"/>
        </w:rPr>
      </w:pPr>
    </w:p>
    <w:p>
      <w:pPr>
        <w:ind w:left="1900" w:hanging="166"/>
        <w:spacing w:after="0"/>
        <w:tabs>
          <w:tab w:leader="none" w:pos="1900" w:val="left"/>
        </w:tabs>
        <w:numPr>
          <w:ilvl w:val="0"/>
          <w:numId w:val="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First Quarter Net Loss of RMB 93.9 million, compared with RMB 38.8 million in the same period of 2025</w:t>
      </w:r>
    </w:p>
    <w:p>
      <w:pPr>
        <w:spacing w:after="0" w:line="2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BEIJING, China, May 18, 2026 – Niu Technologies (“NIU” or “the Company”) (NASDAQ: NIU), the world’s leading provider of smart urban mobility solutions, today announced its unaudited financial results for the first quarter ended March 31,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2026 Financial Highlights</w:t>
      </w:r>
    </w:p>
    <w:p>
      <w:pPr>
        <w:spacing w:after="0" w:line="225" w:lineRule="exact"/>
        <w:rPr>
          <w:sz w:val="20"/>
          <w:szCs w:val="20"/>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Revenues </w:t>
      </w:r>
      <w:r>
        <w:rPr>
          <w:rFonts w:ascii="Times New Roman" w:cs="Times New Roman" w:eastAsia="Times New Roman" w:hAnsi="Times New Roman"/>
          <w:sz w:val="18"/>
          <w:szCs w:val="18"/>
          <w:color w:val="auto"/>
        </w:rPr>
        <w:t>were RMB 909.5 million, an increase of 33.4% year over year</w:t>
      </w:r>
    </w:p>
    <w:p>
      <w:pPr>
        <w:spacing w:after="0" w:line="3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Gross margin </w:t>
      </w:r>
      <w:r>
        <w:rPr>
          <w:rFonts w:ascii="Times New Roman" w:cs="Times New Roman" w:eastAsia="Times New Roman" w:hAnsi="Times New Roman"/>
          <w:sz w:val="18"/>
          <w:szCs w:val="18"/>
          <w:color w:val="auto"/>
        </w:rPr>
        <w:t>was 17.4%, compared with 17.3% in the first quarter of 2025</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loss </w:t>
      </w:r>
      <w:r>
        <w:rPr>
          <w:rFonts w:ascii="Times New Roman" w:cs="Times New Roman" w:eastAsia="Times New Roman" w:hAnsi="Times New Roman"/>
          <w:sz w:val="18"/>
          <w:szCs w:val="18"/>
          <w:color w:val="auto"/>
        </w:rPr>
        <w:t>was RMB 93.9 million, compared with RMB 38.8 million in the first quarter of 2025</w:t>
      </w:r>
    </w:p>
    <w:p>
      <w:pPr>
        <w:spacing w:after="0" w:line="9" w:lineRule="exact"/>
        <w:rPr>
          <w:rFonts w:ascii="Times New Roman" w:cs="Times New Roman" w:eastAsia="Times New Roman" w:hAnsi="Times New Roman"/>
          <w:sz w:val="18"/>
          <w:szCs w:val="18"/>
          <w:color w:val="auto"/>
        </w:rPr>
      </w:pPr>
    </w:p>
    <w:p>
      <w:pPr>
        <w:ind w:left="340" w:hanging="332"/>
        <w:spacing w:after="0" w:line="219" w:lineRule="auto"/>
        <w:tabs>
          <w:tab w:leader="none" w:pos="340" w:val="left"/>
        </w:tabs>
        <w:numPr>
          <w:ilvl w:val="0"/>
          <w:numId w:val="2"/>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b w:val="1"/>
          <w:bCs w:val="1"/>
          <w:color w:val="auto"/>
        </w:rPr>
        <w:t>Adjusted net loss (non-GAAP)</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was RMB 88.0 million, compared with RMB 31.4 million in the first quarter of 2025</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2026 Operating Highlights</w:t>
      </w:r>
    </w:p>
    <w:p>
      <w:pPr>
        <w:spacing w:after="0" w:line="223" w:lineRule="exact"/>
        <w:rPr>
          <w:sz w:val="20"/>
          <w:szCs w:val="20"/>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e-scooters sold was 261,624, an increase of 28.7% year over year</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e-scooters sold in China was 247,938, an increase of 35.4% year over year</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e-scooters sold in the international markets was 13,686, down 32.4% year over year</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franchised stores in China was 4,542 as of March 31, 2026</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Dr. Yan Li, Chief Executive Officer of the Company, remarked, “We continued to expand our presence among younger consumers in China, leveraging a targeted strategy featuring dual Gen Z brand ambassadors to deepen engagement. In the first quarter of 2026, we launched AI-integrated flagship models. Powered by the NIU AIOS intelligent operating system, these models highlight our industry-leading position in AI technology, delivering a seamless, smart riding ecosystem focused on safety, convenience, and personalized user experiences.”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Dr. Li continued, “Internationally, we continued to refine our market strategy. By prioritizing our electric motorcycle position and optimizing our micro-mobility footprint, we are driving the operational improvements that reinforce our foundation for sustainable, long-term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7830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6" w:lineRule="exact"/>
        <w:rPr>
          <w:sz w:val="20"/>
          <w:szCs w:val="20"/>
          <w:color w:val="auto"/>
        </w:rPr>
      </w:pPr>
    </w:p>
    <w:p>
      <w:pPr>
        <w:ind w:left="120" w:hanging="112"/>
        <w:spacing w:after="0"/>
        <w:tabs>
          <w:tab w:leader="none" w:pos="120" w:val="left"/>
        </w:tabs>
        <w:numPr>
          <w:ilvl w:val="0"/>
          <w:numId w:val="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Adjusted net income (loss) (non-GAAP) is defined as net income (loss) excluding share-based compensation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436880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3242945</wp:posOffset>
            </wp:positionH>
            <wp:positionV relativeFrom="page">
              <wp:posOffset>586105</wp:posOffset>
            </wp:positionV>
            <wp:extent cx="1028700" cy="4883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028700" cy="488315"/>
                    </a:xfrm>
                    <a:prstGeom prst="rect">
                      <a:avLst/>
                    </a:prstGeom>
                    <a:noFill/>
                  </pic:spPr>
                </pic:pic>
              </a:graphicData>
            </a:graphic>
          </wp:anchor>
        </w:drawing>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2026 Financial Results</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Revenues </w:t>
      </w:r>
      <w:r>
        <w:rPr>
          <w:rFonts w:ascii="Times New Roman" w:cs="Times New Roman" w:eastAsia="Times New Roman" w:hAnsi="Times New Roman"/>
          <w:sz w:val="18"/>
          <w:szCs w:val="18"/>
          <w:color w:val="auto"/>
        </w:rPr>
        <w:t>reached RMB 909.5 million, representing a 33.4% increase year over year. This increase was primarily driven by a 28.7% increase in sales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volume, complemented by a 5.6% increase in revenues per e-scooter. The following table shows the revenue breakdown and revenues per e-scooter in the periods presented: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16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Pr>
          <w:p>
            <w:pPr>
              <w:spacing w:after="0"/>
              <w:rPr>
                <w:sz w:val="18"/>
                <w:szCs w:val="18"/>
                <w:color w:val="auto"/>
              </w:rPr>
            </w:pPr>
          </w:p>
        </w:tc>
        <w:tc>
          <w:tcPr>
            <w:tcW w:w="11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Pr>
          <w:p>
            <w:pPr>
              <w:spacing w:after="0"/>
              <w:rPr>
                <w:sz w:val="18"/>
                <w:szCs w:val="18"/>
                <w:color w:val="auto"/>
              </w:rPr>
            </w:pPr>
          </w:p>
        </w:tc>
        <w:tc>
          <w:tcPr>
            <w:tcW w:w="13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38"/>
        </w:trPr>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RMB million)</w:t>
            </w:r>
          </w:p>
        </w:tc>
        <w:tc>
          <w:tcPr>
            <w:tcW w:w="13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5"/>
              </w:rPr>
              <w:t>Q1</w:t>
            </w: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5"/>
              </w:rPr>
              <w:t>Q1</w:t>
            </w:r>
          </w:p>
        </w:tc>
        <w:tc>
          <w:tcPr>
            <w:tcW w:w="13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YoY</w:t>
            </w:r>
          </w:p>
        </w:tc>
      </w:tr>
      <w:tr>
        <w:trPr>
          <w:trHeight w:val="209"/>
        </w:trPr>
        <w:tc>
          <w:tcPr>
            <w:tcW w:w="6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E-scooter sales from China market</w:t>
            </w:r>
          </w:p>
        </w:tc>
        <w:tc>
          <w:tcPr>
            <w:tcW w:w="2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773.6</w:t>
            </w:r>
          </w:p>
        </w:tc>
        <w:tc>
          <w:tcPr>
            <w:tcW w:w="2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546.4</w:t>
            </w:r>
          </w:p>
        </w:tc>
        <w:tc>
          <w:tcPr>
            <w:tcW w:w="2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60" w:type="dxa"/>
            <w:vAlign w:val="bottom"/>
            <w:tcBorders>
              <w:top w:val="single" w:sz="8" w:color="CCEEFF"/>
            </w:tcBorders>
            <w:shd w:val="clear" w:color="auto" w:fill="CCEEFF"/>
          </w:tcPr>
          <w:p>
            <w:pPr>
              <w:spacing w:after="0"/>
              <w:rPr>
                <w:sz w:val="18"/>
                <w:szCs w:val="18"/>
                <w:color w:val="auto"/>
              </w:rPr>
            </w:pPr>
          </w:p>
        </w:tc>
      </w:tr>
      <w:tr>
        <w:trPr>
          <w:trHeight w:val="229"/>
        </w:trPr>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E-scooter sales from international markets</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50.9</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60.0</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-15.2%</w:t>
            </w:r>
          </w:p>
        </w:tc>
      </w:tr>
      <w:tr>
        <w:trPr>
          <w:trHeight w:val="210"/>
        </w:trPr>
        <w:tc>
          <w:tcPr>
            <w:tcW w:w="65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E-scooter sales, sub-total</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824.5</w:t>
            </w:r>
          </w:p>
        </w:tc>
        <w:tc>
          <w:tcPr>
            <w:tcW w:w="2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606.4</w:t>
            </w:r>
          </w:p>
        </w:tc>
        <w:tc>
          <w:tcPr>
            <w:tcW w:w="2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60" w:type="dxa"/>
            <w:vAlign w:val="bottom"/>
            <w:tcBorders>
              <w:top w:val="single" w:sz="8" w:color="CCEEFF"/>
            </w:tcBorders>
            <w:shd w:val="clear" w:color="auto" w:fill="CCEEFF"/>
          </w:tcPr>
          <w:p>
            <w:pPr>
              <w:spacing w:after="0"/>
              <w:rPr>
                <w:sz w:val="18"/>
                <w:szCs w:val="18"/>
                <w:color w:val="auto"/>
              </w:rPr>
            </w:pPr>
          </w:p>
        </w:tc>
      </w:tr>
      <w:tr>
        <w:trPr>
          <w:trHeight w:val="229"/>
        </w:trPr>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Accessories, spare parts and services</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85.0</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75.6</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+12.5%</w:t>
            </w:r>
          </w:p>
        </w:tc>
      </w:tr>
      <w:tr>
        <w:trPr>
          <w:trHeight w:val="210"/>
        </w:trPr>
        <w:tc>
          <w:tcPr>
            <w:tcW w:w="65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909.5</w:t>
            </w:r>
          </w:p>
        </w:tc>
        <w:tc>
          <w:tcPr>
            <w:tcW w:w="2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682.0</w:t>
            </w:r>
          </w:p>
        </w:tc>
        <w:tc>
          <w:tcPr>
            <w:tcW w:w="2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60" w:type="dxa"/>
            <w:vAlign w:val="bottom"/>
            <w:tcBorders>
              <w:top w:val="single" w:sz="8" w:color="CCEEFF"/>
            </w:tcBorders>
            <w:shd w:val="clear" w:color="auto" w:fill="CCEEFF"/>
          </w:tcPr>
          <w:p>
            <w:pPr>
              <w:spacing w:after="0"/>
              <w:rPr>
                <w:sz w:val="18"/>
                <w:szCs w:val="18"/>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Revenues per e-scooter</w:t>
            </w:r>
          </w:p>
        </w:tc>
        <w:tc>
          <w:tcPr>
            <w:tcW w:w="116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Pr>
          <w:p>
            <w:pPr>
              <w:spacing w:after="0"/>
              <w:rPr>
                <w:sz w:val="18"/>
                <w:szCs w:val="18"/>
                <w:color w:val="auto"/>
              </w:rPr>
            </w:pPr>
          </w:p>
        </w:tc>
        <w:tc>
          <w:tcPr>
            <w:tcW w:w="11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Pr>
          <w:p>
            <w:pPr>
              <w:spacing w:after="0"/>
              <w:rPr>
                <w:sz w:val="18"/>
                <w:szCs w:val="18"/>
                <w:color w:val="auto"/>
              </w:rPr>
            </w:pPr>
          </w:p>
        </w:tc>
        <w:tc>
          <w:tcPr>
            <w:tcW w:w="13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38"/>
        </w:trPr>
        <w:tc>
          <w:tcPr>
            <w:tcW w:w="6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 RMB)</w:t>
            </w:r>
          </w:p>
        </w:tc>
        <w:tc>
          <w:tcPr>
            <w:tcW w:w="200" w:type="dxa"/>
            <w:vAlign w:val="bottom"/>
            <w:tcBorders>
              <w:bottom w:val="single" w:sz="8" w:color="CCEEFF"/>
            </w:tcBorders>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Q1</w:t>
            </w:r>
          </w:p>
        </w:tc>
        <w:tc>
          <w:tcPr>
            <w:tcW w:w="20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Q1</w:t>
            </w:r>
          </w:p>
        </w:tc>
        <w:tc>
          <w:tcPr>
            <w:tcW w:w="20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YoY</w:t>
            </w:r>
          </w:p>
        </w:tc>
        <w:tc>
          <w:tcPr>
            <w:tcW w:w="160" w:type="dxa"/>
            <w:vAlign w:val="bottom"/>
            <w:tcBorders>
              <w:bottom w:val="single" w:sz="8" w:color="CCEEFF"/>
            </w:tcBorders>
          </w:tcPr>
          <w:p>
            <w:pPr>
              <w:spacing w:after="0"/>
              <w:rPr>
                <w:sz w:val="20"/>
                <w:szCs w:val="20"/>
                <w:color w:val="auto"/>
              </w:rPr>
            </w:pPr>
          </w:p>
        </w:tc>
      </w:tr>
      <w:tr>
        <w:trPr>
          <w:trHeight w:val="250"/>
        </w:trPr>
        <w:tc>
          <w:tcPr>
            <w:tcW w:w="6360" w:type="dxa"/>
            <w:vAlign w:val="bottom"/>
            <w:shd w:val="clear" w:color="auto" w:fill="CCEEFF"/>
          </w:tcPr>
          <w:p>
            <w:pPr>
              <w:spacing w:after="0" w:line="250" w:lineRule="exact"/>
              <w:rPr>
                <w:sz w:val="20"/>
                <w:szCs w:val="20"/>
                <w:color w:val="auto"/>
              </w:rPr>
            </w:pPr>
            <w:r>
              <w:rPr>
                <w:rFonts w:ascii="Times New Roman" w:cs="Times New Roman" w:eastAsia="Times New Roman" w:hAnsi="Times New Roman"/>
                <w:sz w:val="17"/>
                <w:szCs w:val="17"/>
                <w:color w:val="auto"/>
              </w:rPr>
              <w:t>E-scooter sales from China market</w:t>
            </w:r>
            <w:r>
              <w:rPr>
                <w:rFonts w:ascii="Times New Roman" w:cs="Times New Roman" w:eastAsia="Times New Roman" w:hAnsi="Times New Roman"/>
                <w:sz w:val="28"/>
                <w:szCs w:val="28"/>
                <w:color w:val="auto"/>
                <w:vertAlign w:val="superscript"/>
              </w:rPr>
              <w:t>2</w:t>
            </w:r>
          </w:p>
        </w:tc>
        <w:tc>
          <w:tcPr>
            <w:tcW w:w="20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3,120</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2,985</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w:t>
            </w:r>
          </w:p>
        </w:tc>
      </w:tr>
      <w:tr>
        <w:trPr>
          <w:trHeight w:val="270"/>
        </w:trPr>
        <w:tc>
          <w:tcPr>
            <w:tcW w:w="6560" w:type="dxa"/>
            <w:vAlign w:val="bottom"/>
            <w:gridSpan w:val="2"/>
          </w:tcPr>
          <w:p>
            <w:pPr>
              <w:spacing w:after="0" w:line="270" w:lineRule="exact"/>
              <w:rPr>
                <w:sz w:val="20"/>
                <w:szCs w:val="20"/>
                <w:color w:val="auto"/>
              </w:rPr>
            </w:pPr>
            <w:r>
              <w:rPr>
                <w:rFonts w:ascii="Times New Roman" w:cs="Times New Roman" w:eastAsia="Times New Roman" w:hAnsi="Times New Roman"/>
                <w:sz w:val="18"/>
                <w:szCs w:val="18"/>
                <w:color w:val="auto"/>
              </w:rPr>
              <w:t>E-scooter sales from international markets</w:t>
            </w:r>
            <w:r>
              <w:rPr>
                <w:rFonts w:ascii="Times New Roman" w:cs="Times New Roman" w:eastAsia="Times New Roman" w:hAnsi="Times New Roman"/>
                <w:sz w:val="29"/>
                <w:szCs w:val="29"/>
                <w:color w:val="auto"/>
                <w:vertAlign w:val="superscript"/>
              </w:rPr>
              <w:t>2</w:t>
            </w:r>
          </w:p>
        </w:tc>
        <w:tc>
          <w:tcPr>
            <w:tcW w:w="136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3,716</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2,962</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+25.5%</w:t>
            </w:r>
          </w:p>
        </w:tc>
      </w:tr>
      <w:tr>
        <w:trPr>
          <w:trHeight w:val="209"/>
        </w:trPr>
        <w:tc>
          <w:tcPr>
            <w:tcW w:w="65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per e-scooter</w:t>
            </w:r>
          </w:p>
        </w:tc>
        <w:tc>
          <w:tcPr>
            <w:tcW w:w="1160" w:type="dxa"/>
            <w:vAlign w:val="bottom"/>
            <w:tcBorders>
              <w:top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w w:val="93"/>
              </w:rPr>
              <w:t>3,151</w:t>
            </w:r>
          </w:p>
        </w:tc>
        <w:tc>
          <w:tcPr>
            <w:tcW w:w="2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2,983</w:t>
            </w:r>
          </w:p>
        </w:tc>
        <w:tc>
          <w:tcPr>
            <w:tcW w:w="2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60" w:type="dxa"/>
            <w:vAlign w:val="bottom"/>
            <w:tcBorders>
              <w:top w:val="single" w:sz="8" w:color="CCEEFF"/>
            </w:tcBorders>
            <w:shd w:val="clear" w:color="auto" w:fill="CCEEFF"/>
          </w:tcPr>
          <w:p>
            <w:pPr>
              <w:spacing w:after="0"/>
              <w:rPr>
                <w:sz w:val="18"/>
                <w:szCs w:val="18"/>
                <w:color w:val="auto"/>
              </w:rPr>
            </w:pPr>
          </w:p>
        </w:tc>
      </w:tr>
      <w:tr>
        <w:trPr>
          <w:trHeight w:val="270"/>
        </w:trPr>
        <w:tc>
          <w:tcPr>
            <w:tcW w:w="6560" w:type="dxa"/>
            <w:vAlign w:val="bottom"/>
            <w:gridSpan w:val="2"/>
          </w:tcPr>
          <w:p>
            <w:pPr>
              <w:spacing w:after="0" w:line="270" w:lineRule="exact"/>
              <w:rPr>
                <w:sz w:val="20"/>
                <w:szCs w:val="20"/>
                <w:color w:val="auto"/>
              </w:rPr>
            </w:pPr>
            <w:r>
              <w:rPr>
                <w:rFonts w:ascii="Times New Roman" w:cs="Times New Roman" w:eastAsia="Times New Roman" w:hAnsi="Times New Roman"/>
                <w:sz w:val="18"/>
                <w:szCs w:val="18"/>
                <w:color w:val="auto"/>
              </w:rPr>
              <w:t>Accessories, spare parts and services</w:t>
            </w:r>
            <w:r>
              <w:rPr>
                <w:rFonts w:ascii="Times New Roman" w:cs="Times New Roman" w:eastAsia="Times New Roman" w:hAnsi="Times New Roman"/>
                <w:sz w:val="29"/>
                <w:szCs w:val="29"/>
                <w:color w:val="auto"/>
                <w:vertAlign w:val="superscript"/>
              </w:rPr>
              <w:t>3</w:t>
            </w:r>
          </w:p>
        </w:tc>
        <w:tc>
          <w:tcPr>
            <w:tcW w:w="136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325</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371</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10"/>
        </w:trPr>
        <w:tc>
          <w:tcPr>
            <w:tcW w:w="65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Blended revenues per e-scooter (including accessories, spare parts and services)</w:t>
            </w:r>
          </w:p>
        </w:tc>
        <w:tc>
          <w:tcPr>
            <w:tcW w:w="1160" w:type="dxa"/>
            <w:vAlign w:val="bottom"/>
            <w:tcBorders>
              <w:top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w w:val="93"/>
              </w:rPr>
              <w:t>3,476</w:t>
            </w:r>
          </w:p>
        </w:tc>
        <w:tc>
          <w:tcPr>
            <w:tcW w:w="2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3,354</w:t>
            </w:r>
          </w:p>
        </w:tc>
        <w:tc>
          <w:tcPr>
            <w:tcW w:w="2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6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ind w:left="660" w:hanging="328"/>
        <w:spacing w:after="0" w:line="261" w:lineRule="auto"/>
        <w:tabs>
          <w:tab w:leader="none" w:pos="660" w:val="left"/>
        </w:tabs>
        <w:numPr>
          <w:ilvl w:val="0"/>
          <w:numId w:val="5"/>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E-scooter sales revenues from China market were RMB 773.6 million, an increase of 41.6% year over year, representing 93.8% of total e-scooter revenues. The increase was mainly due to a 35.4% increase in sales volume and a 4.5% increase in revenues per e-scooter in China market.</w:t>
      </w:r>
    </w:p>
    <w:p>
      <w:pPr>
        <w:ind w:left="660" w:hanging="328"/>
        <w:spacing w:after="0" w:line="250" w:lineRule="auto"/>
        <w:tabs>
          <w:tab w:leader="none" w:pos="660" w:val="left"/>
        </w:tabs>
        <w:numPr>
          <w:ilvl w:val="0"/>
          <w:numId w:val="5"/>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E-scooter sales revenues from international markets were RMB 50.9 million, a decrease of 15.2% year over year, representing 6.2% of total e-scooter revenues. The decrease was mainly due to lower sales volume of kick-scooters in international markets.</w:t>
      </w:r>
    </w:p>
    <w:p>
      <w:pPr>
        <w:ind w:left="660" w:hanging="328"/>
        <w:spacing w:after="0" w:line="250" w:lineRule="auto"/>
        <w:tabs>
          <w:tab w:leader="none" w:pos="660" w:val="left"/>
        </w:tabs>
        <w:numPr>
          <w:ilvl w:val="0"/>
          <w:numId w:val="5"/>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Accessories, spare parts and services revenues were RMB 85.0 million, an increase of 12.5% year over year, representing 9.4% of total revenues. The increase was primarily driven by higher revenues from Niu App services, as well as from accessories and spare parts sales in China market.</w:t>
      </w:r>
    </w:p>
    <w:p>
      <w:pPr>
        <w:ind w:left="660" w:hanging="328"/>
        <w:spacing w:after="0" w:line="260" w:lineRule="auto"/>
        <w:tabs>
          <w:tab w:leader="none" w:pos="660" w:val="left"/>
        </w:tabs>
        <w:numPr>
          <w:ilvl w:val="0"/>
          <w:numId w:val="5"/>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Revenues per e-scooter were RMB 3,151, an increase of 5.6% year over year. This increase was primarily driven by a higher sales proportion from China market, coupled with higher revenues per e-scooter in China.</w:t>
      </w:r>
    </w:p>
    <w:p>
      <w:pPr>
        <w:spacing w:after="0" w:line="17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Cost of revenues </w:t>
      </w:r>
      <w:r>
        <w:rPr>
          <w:rFonts w:ascii="Times New Roman" w:cs="Times New Roman" w:eastAsia="Times New Roman" w:hAnsi="Times New Roman"/>
          <w:sz w:val="18"/>
          <w:szCs w:val="18"/>
          <w:color w:val="auto"/>
        </w:rPr>
        <w:t>was RMB 751.0 million, an increase of 33.2% year over year, mainly due to increased sales volume. The cost per e-scooter, defined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cost of revenues divided by the number of e-scooters sold in a specific period, was RMB 2,870, an increase of 3.5% from RMB 2,774 in the first quarter of 2025. This increase was mainly due to provisions for slow-moving inventory in international markets.</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Gross margin </w:t>
      </w:r>
      <w:r>
        <w:rPr>
          <w:rFonts w:ascii="Times New Roman" w:cs="Times New Roman" w:eastAsia="Times New Roman" w:hAnsi="Times New Roman"/>
          <w:sz w:val="18"/>
          <w:szCs w:val="18"/>
          <w:color w:val="auto"/>
        </w:rPr>
        <w:t>was 17.4%, compared with 17.3% in the same period of 2025. The slight increase was primarily attributable to solid performance in China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market, driven by a favorable product mix and effective cost-control efforts. This was partially offset by lower gross margin on kick-scooters in international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17830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30" w:lineRule="exact"/>
        <w:rPr>
          <w:sz w:val="20"/>
          <w:szCs w:val="20"/>
          <w:color w:val="auto"/>
        </w:rPr>
      </w:pPr>
    </w:p>
    <w:p>
      <w:pPr>
        <w:ind w:firstLine="8"/>
        <w:spacing w:after="0" w:line="195" w:lineRule="auto"/>
        <w:tabs>
          <w:tab w:leader="none" w:pos="125" w:val="left"/>
        </w:tabs>
        <w:numPr>
          <w:ilvl w:val="0"/>
          <w:numId w:val="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Revenues per e-scooter on e-scooter sales from China or international markets is defined as e-scooter sales revenues from China or international markets divided by the number of e-scooters sold in China or international markets in a specific period</w:t>
      </w:r>
    </w:p>
    <w:p>
      <w:pPr>
        <w:spacing w:after="0" w:line="24" w:lineRule="exact"/>
        <w:rPr>
          <w:sz w:val="20"/>
          <w:szCs w:val="20"/>
          <w:color w:val="auto"/>
        </w:rPr>
      </w:pPr>
    </w:p>
    <w:p>
      <w:pPr>
        <w:ind w:firstLine="8"/>
        <w:spacing w:after="0" w:line="195" w:lineRule="auto"/>
        <w:tabs>
          <w:tab w:leader="none" w:pos="122" w:val="left"/>
        </w:tabs>
        <w:numPr>
          <w:ilvl w:val="0"/>
          <w:numId w:val="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Revenues per e-scooter on accessories, spare parts and services is defined as accessories, spare parts and services revenues divided by the total number of e-scooters sold in a specific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438150</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3242945</wp:posOffset>
            </wp:positionH>
            <wp:positionV relativeFrom="page">
              <wp:posOffset>586105</wp:posOffset>
            </wp:positionV>
            <wp:extent cx="1028700" cy="4883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028700" cy="488315"/>
                    </a:xfrm>
                    <a:prstGeom prst="rect">
                      <a:avLst/>
                    </a:prstGeom>
                    <a:noFill/>
                  </pic:spPr>
                </pic:pic>
              </a:graphicData>
            </a:graphic>
          </wp:anchor>
        </w:drawing>
      </w:r>
    </w:p>
    <w:p>
      <w:pPr>
        <w:spacing w:after="0" w:line="300"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Operating expenses </w:t>
      </w:r>
      <w:r>
        <w:rPr>
          <w:rFonts w:ascii="Times New Roman" w:cs="Times New Roman" w:eastAsia="Times New Roman" w:hAnsi="Times New Roman"/>
          <w:sz w:val="18"/>
          <w:szCs w:val="18"/>
          <w:color w:val="auto"/>
        </w:rPr>
        <w:t>were RMB 263.6 million, an increase of 59.7% from the same period of 2025. Operating expenses as a percentage of revenues were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29.0%, compared with 24.2% in the first quarter of 2025.</w:t>
      </w:r>
    </w:p>
    <w:p>
      <w:pPr>
        <w:spacing w:after="0" w:line="155" w:lineRule="exact"/>
        <w:rPr>
          <w:sz w:val="20"/>
          <w:szCs w:val="20"/>
          <w:color w:val="auto"/>
        </w:rPr>
      </w:pPr>
    </w:p>
    <w:p>
      <w:pPr>
        <w:jc w:val="both"/>
        <w:ind w:left="660" w:hanging="328"/>
        <w:spacing w:after="0" w:line="255" w:lineRule="auto"/>
        <w:tabs>
          <w:tab w:leader="none" w:pos="660" w:val="left"/>
        </w:tabs>
        <w:numPr>
          <w:ilvl w:val="0"/>
          <w:numId w:val="8"/>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 xml:space="preserve">Selling and marketing expenses </w:t>
      </w:r>
      <w:r>
        <w:rPr>
          <w:rFonts w:ascii="Times New Roman" w:cs="Times New Roman" w:eastAsia="Times New Roman" w:hAnsi="Times New Roman"/>
          <w:sz w:val="18"/>
          <w:szCs w:val="18"/>
          <w:color w:val="auto"/>
        </w:rPr>
        <w:t>were RMB 179.7 million (including RMB 0.9 million of share-based compensation expenses), an increase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56.8% from RMB 114.6 million in the first quarter of 2025, mainly due to an increase of RMB 45.9 million in advertising and promotion expenses, primarily driven by intensified marketing initiatives in China market during the Chinese New Year holiday season, RMB 8.5 million in staff costs, and RMB 8.3 million in depreciation and amortization. Selling and marketing expenses as a percentage of revenues were 19.8%, compared with 16.8% in the first quarter of 2025.</w:t>
      </w:r>
    </w:p>
    <w:p>
      <w:pPr>
        <w:spacing w:after="0" w:line="2" w:lineRule="exact"/>
        <w:rPr>
          <w:rFonts w:ascii="Wingdings" w:cs="Wingdings" w:eastAsia="Wingdings" w:hAnsi="Wingdings"/>
          <w:sz w:val="18"/>
          <w:szCs w:val="18"/>
          <w:b w:val="1"/>
          <w:bCs w:val="1"/>
          <w:color w:val="auto"/>
        </w:rPr>
      </w:pPr>
    </w:p>
    <w:p>
      <w:pPr>
        <w:jc w:val="both"/>
        <w:ind w:left="660" w:hanging="328"/>
        <w:spacing w:after="0" w:line="250" w:lineRule="auto"/>
        <w:tabs>
          <w:tab w:leader="none" w:pos="660" w:val="left"/>
        </w:tabs>
        <w:numPr>
          <w:ilvl w:val="0"/>
          <w:numId w:val="8"/>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 xml:space="preserve">Research and development expenses </w:t>
      </w:r>
      <w:r>
        <w:rPr>
          <w:rFonts w:ascii="Times New Roman" w:cs="Times New Roman" w:eastAsia="Times New Roman" w:hAnsi="Times New Roman"/>
          <w:sz w:val="18"/>
          <w:szCs w:val="18"/>
          <w:color w:val="auto"/>
        </w:rPr>
        <w:t>were RMB 41.4 million (including RMB 1.9 million of share-based compensation expenses), an increase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38.8% from RMB 29.8 million in the first quarter of 2025, mainly due to an increase of RMB 5.4 million in design and testing expenses, and RMB 4.9 million in staff costs and share-based compensation. Research and development expenses as a percentage of revenues were 4.5%, compared with 4.4% in the first quarter of 2025.</w:t>
      </w:r>
    </w:p>
    <w:p>
      <w:pPr>
        <w:spacing w:after="0" w:line="1" w:lineRule="exact"/>
        <w:rPr>
          <w:rFonts w:ascii="Wingdings" w:cs="Wingdings" w:eastAsia="Wingdings" w:hAnsi="Wingdings"/>
          <w:sz w:val="18"/>
          <w:szCs w:val="18"/>
          <w:b w:val="1"/>
          <w:bCs w:val="1"/>
          <w:color w:val="auto"/>
        </w:rPr>
      </w:pPr>
    </w:p>
    <w:p>
      <w:pPr>
        <w:jc w:val="both"/>
        <w:ind w:left="660" w:hanging="328"/>
        <w:spacing w:after="0" w:line="253" w:lineRule="auto"/>
        <w:tabs>
          <w:tab w:leader="none" w:pos="660" w:val="left"/>
        </w:tabs>
        <w:numPr>
          <w:ilvl w:val="0"/>
          <w:numId w:val="8"/>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 xml:space="preserve">General and administrative expenses </w:t>
      </w:r>
      <w:r>
        <w:rPr>
          <w:rFonts w:ascii="Times New Roman" w:cs="Times New Roman" w:eastAsia="Times New Roman" w:hAnsi="Times New Roman"/>
          <w:sz w:val="18"/>
          <w:szCs w:val="18"/>
          <w:color w:val="auto"/>
        </w:rPr>
        <w:t>were RMB 42.5 million (including RMB 2.9 million of share-based compensation expenses), an increase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105.8% from RMB 20.7 million in the first quarter of 2025, mainly attributable to an increase of RMB 28.4 million in foreign exchange losses, consisting of foreign exchange losses of RMB 19.2 million in this quarter versus foreign exchange gains of RMB 9.1 million in the first quarter of 2025. General and administrative expenses as a percentage of revenues were 4.7%, compared with 3.0% in the first quarter of 2025.</w:t>
      </w:r>
    </w:p>
    <w:p>
      <w:pPr>
        <w:spacing w:after="0" w:line="18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Operating expenses excluding share-based compensation expenses </w:t>
      </w:r>
      <w:r>
        <w:rPr>
          <w:rFonts w:ascii="Times New Roman" w:cs="Times New Roman" w:eastAsia="Times New Roman" w:hAnsi="Times New Roman"/>
          <w:sz w:val="18"/>
          <w:szCs w:val="18"/>
          <w:color w:val="auto"/>
        </w:rPr>
        <w:t>were RMB 257.8 million, an increase of 63.4% year over year, representing 28.3%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revenues, compared with 23.1% in the first quarter of 2025.</w:t>
      </w:r>
    </w:p>
    <w:p>
      <w:pPr>
        <w:spacing w:after="0" w:line="155" w:lineRule="exact"/>
        <w:rPr>
          <w:sz w:val="20"/>
          <w:szCs w:val="20"/>
          <w:color w:val="auto"/>
        </w:rPr>
      </w:pPr>
    </w:p>
    <w:p>
      <w:pPr>
        <w:ind w:left="660" w:right="20" w:hanging="328"/>
        <w:spacing w:after="0" w:line="263" w:lineRule="auto"/>
        <w:tabs>
          <w:tab w:leader="none" w:pos="660" w:val="left"/>
        </w:tabs>
        <w:numPr>
          <w:ilvl w:val="0"/>
          <w:numId w:val="9"/>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 xml:space="preserve">Selling and marketing expenses excluding share-based compensation expenses </w:t>
      </w:r>
      <w:r>
        <w:rPr>
          <w:rFonts w:ascii="Times New Roman" w:cs="Times New Roman" w:eastAsia="Times New Roman" w:hAnsi="Times New Roman"/>
          <w:sz w:val="18"/>
          <w:szCs w:val="18"/>
          <w:color w:val="auto"/>
        </w:rPr>
        <w:t>were RMB 178.8 million, an increase of 58.3% year over year,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representing 19.7% of revenues, compared with 16.6% in the first quarter of 2025.</w:t>
      </w:r>
    </w:p>
    <w:p>
      <w:pPr>
        <w:ind w:left="660" w:hanging="328"/>
        <w:spacing w:after="0" w:line="250" w:lineRule="auto"/>
        <w:tabs>
          <w:tab w:leader="none" w:pos="660" w:val="left"/>
        </w:tabs>
        <w:numPr>
          <w:ilvl w:val="0"/>
          <w:numId w:val="9"/>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 xml:space="preserve">Research and development expenses excluding share-based compensation expenses </w:t>
      </w:r>
      <w:r>
        <w:rPr>
          <w:rFonts w:ascii="Times New Roman" w:cs="Times New Roman" w:eastAsia="Times New Roman" w:hAnsi="Times New Roman"/>
          <w:sz w:val="18"/>
          <w:szCs w:val="18"/>
          <w:color w:val="auto"/>
        </w:rPr>
        <w:t>were RMB 39.5 million, an increase of 45.2% year over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year, representing 4.3% of revenues, compared with 4.0% in the first quarter of 2025.</w:t>
      </w:r>
    </w:p>
    <w:p>
      <w:pPr>
        <w:ind w:left="660" w:right="20" w:hanging="328"/>
        <w:spacing w:after="0" w:line="260" w:lineRule="auto"/>
        <w:tabs>
          <w:tab w:leader="none" w:pos="660" w:val="left"/>
        </w:tabs>
        <w:numPr>
          <w:ilvl w:val="0"/>
          <w:numId w:val="9"/>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 xml:space="preserve">General and administrative expenses excluding share-based compensation expenses </w:t>
      </w:r>
      <w:r>
        <w:rPr>
          <w:rFonts w:ascii="Times New Roman" w:cs="Times New Roman" w:eastAsia="Times New Roman" w:hAnsi="Times New Roman"/>
          <w:sz w:val="18"/>
          <w:szCs w:val="18"/>
          <w:color w:val="auto"/>
        </w:rPr>
        <w:t>were RMB 39.6 million, an increase of 123.4% year over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year, representing 4.3% of revenues, compared with 2.6% in the first quarter of 2025.</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Share-based compensation expenses </w:t>
      </w:r>
      <w:r>
        <w:rPr>
          <w:rFonts w:ascii="Times New Roman" w:cs="Times New Roman" w:eastAsia="Times New Roman" w:hAnsi="Times New Roman"/>
          <w:sz w:val="18"/>
          <w:szCs w:val="18"/>
          <w:color w:val="auto"/>
        </w:rPr>
        <w:t>were RMB 5.9 million, compared with RMB 7.5 million in the same period of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Income tax benefit </w:t>
      </w:r>
      <w:r>
        <w:rPr>
          <w:rFonts w:ascii="Times New Roman" w:cs="Times New Roman" w:eastAsia="Times New Roman" w:hAnsi="Times New Roman"/>
          <w:sz w:val="18"/>
          <w:szCs w:val="18"/>
          <w:color w:val="auto"/>
        </w:rPr>
        <w:t>was RMB 6.4 million, compared with RMB 2.2 million in the same period of 2025.</w:t>
      </w:r>
    </w:p>
    <w:p>
      <w:pPr>
        <w:spacing w:after="0" w:line="22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Net loss </w:t>
      </w:r>
      <w:r>
        <w:rPr>
          <w:rFonts w:ascii="Times New Roman" w:cs="Times New Roman" w:eastAsia="Times New Roman" w:hAnsi="Times New Roman"/>
          <w:sz w:val="18"/>
          <w:szCs w:val="18"/>
          <w:color w:val="auto"/>
        </w:rPr>
        <w:t>was RMB 93.9 million, compared with RMB 38.8 million in the first quarter of 2025. The net loss margin was 10.3%, compared with 5.7%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same period of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403860</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3242945</wp:posOffset>
            </wp:positionH>
            <wp:positionV relativeFrom="page">
              <wp:posOffset>586105</wp:posOffset>
            </wp:positionV>
            <wp:extent cx="1028700" cy="4883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028700" cy="488315"/>
                    </a:xfrm>
                    <a:prstGeom prst="rect">
                      <a:avLst/>
                    </a:prstGeom>
                    <a:noFill/>
                  </pic:spPr>
                </pic:pic>
              </a:graphicData>
            </a:graphic>
          </wp:anchor>
        </w:drawing>
      </w:r>
    </w:p>
    <w:p>
      <w:pPr>
        <w:spacing w:after="0" w:line="308" w:lineRule="exact"/>
        <w:rPr>
          <w:sz w:val="20"/>
          <w:szCs w:val="20"/>
          <w:color w:val="auto"/>
        </w:rPr>
      </w:pPr>
    </w:p>
    <w:p>
      <w:pPr>
        <w:spacing w:after="0" w:line="216" w:lineRule="auto"/>
        <w:rPr>
          <w:sz w:val="20"/>
          <w:szCs w:val="20"/>
          <w:color w:val="auto"/>
        </w:rPr>
      </w:pPr>
      <w:r>
        <w:rPr>
          <w:rFonts w:ascii="Times New Roman" w:cs="Times New Roman" w:eastAsia="Times New Roman" w:hAnsi="Times New Roman"/>
          <w:sz w:val="18"/>
          <w:szCs w:val="18"/>
          <w:b w:val="1"/>
          <w:bCs w:val="1"/>
          <w:color w:val="auto"/>
        </w:rPr>
        <w:t xml:space="preserve">Adjusted net loss (non-GAAP) </w:t>
      </w:r>
      <w:r>
        <w:rPr>
          <w:rFonts w:ascii="Times New Roman" w:cs="Times New Roman" w:eastAsia="Times New Roman" w:hAnsi="Times New Roman"/>
          <w:sz w:val="18"/>
          <w:szCs w:val="18"/>
          <w:color w:val="auto"/>
        </w:rPr>
        <w:t>was RMB 88.0 million, compared with RMB 31.4 million in the first quarter of 2025. The adjusted net loss margin</w:t>
      </w:r>
      <w:r>
        <w:rPr>
          <w:rFonts w:ascii="Times New Roman" w:cs="Times New Roman" w:eastAsia="Times New Roman" w:hAnsi="Times New Roman"/>
          <w:sz w:val="29"/>
          <w:szCs w:val="29"/>
          <w:color w:val="auto"/>
          <w:vertAlign w:val="superscript"/>
        </w:rPr>
        <w:t>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9.7%, compared with 4.6% in the same period of 2025.</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Basic and diluted net loss per ADS </w:t>
      </w:r>
      <w:r>
        <w:rPr>
          <w:rFonts w:ascii="Times New Roman" w:cs="Times New Roman" w:eastAsia="Times New Roman" w:hAnsi="Times New Roman"/>
          <w:sz w:val="18"/>
          <w:szCs w:val="18"/>
          <w:color w:val="auto"/>
        </w:rPr>
        <w:t>were both RMB 1.16 (US$ 0.17).</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Balance Sheet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As of March 31, 2026, the Company had </w:t>
      </w:r>
      <w:r>
        <w:rPr>
          <w:rFonts w:ascii="Times New Roman" w:cs="Times New Roman" w:eastAsia="Times New Roman" w:hAnsi="Times New Roman"/>
          <w:sz w:val="18"/>
          <w:szCs w:val="18"/>
          <w:b w:val="1"/>
          <w:bCs w:val="1"/>
          <w:color w:val="auto"/>
        </w:rPr>
        <w:t>cash and cash equivalents, term deposits and short-term investments</w:t>
      </w:r>
      <w:r>
        <w:rPr>
          <w:rFonts w:ascii="Times New Roman" w:cs="Times New Roman" w:eastAsia="Times New Roman" w:hAnsi="Times New Roman"/>
          <w:sz w:val="18"/>
          <w:szCs w:val="18"/>
          <w:color w:val="auto"/>
        </w:rPr>
        <w:t xml:space="preserve"> of RMB 1,163.3 million in aggregate.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had restricted cash of RMB 211.0 million and short-term bank borrowings of RMB 230.0 million.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Outlook</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NIU expects revenues for the second quarter of 2026 to be in the range of RMB 1,570 million to RMB 1,821 million, representing a year-over-year increase of 25% to 45%.</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above outlook is based on information available as of the date of this press release and reflects the Company’s current and preliminary expectations and is subject to change.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will host an earnings conference call on Monday, May 18, 2026 at 8:00 AM U.S. Eastern Time (8:00 PM Beijing/Hong Kong Time) to discuss its first quarter 2026 financial and business results and provide a corporate update.</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To join via phone, participants need to register in advance of the conference call using the link provided below. Upon registration, participants will receive dial-in numbers and a personal PIN, which will be used to join the conference call.</w:t>
      </w:r>
    </w:p>
    <w:p>
      <w:pPr>
        <w:sectPr>
          <w:pgSz w:w="11900" w:h="16838" w:orient="portrait"/>
          <w:cols w:equalWidth="0" w:num="1">
            <w:col w:w="11240"/>
          </w:cols>
          <w:pgMar w:left="320" w:top="1440" w:right="339" w:bottom="1440" w:gutter="0" w:footer="0" w:header="0"/>
        </w:sectPr>
      </w:pP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Event: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Link:</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ind w:right="2840"/>
        <w:spacing w:after="0" w:line="282" w:lineRule="auto"/>
        <w:rPr>
          <w:sz w:val="20"/>
          <w:szCs w:val="20"/>
          <w:color w:val="auto"/>
        </w:rPr>
      </w:pPr>
      <w:r>
        <w:rPr>
          <w:rFonts w:ascii="Times New Roman" w:cs="Times New Roman" w:eastAsia="Times New Roman" w:hAnsi="Times New Roman"/>
          <w:sz w:val="18"/>
          <w:szCs w:val="18"/>
          <w:color w:val="auto"/>
        </w:rPr>
        <w:t>Niu Technologies First Quarter 2026 Financial Results Conference Call https://register-conf.media-server.com/register/BId1e27f181619440aa4c06d4d313ba40d</w:t>
      </w:r>
    </w:p>
    <w:p>
      <w:pPr>
        <w:spacing w:after="0" w:line="162" w:lineRule="exact"/>
        <w:rPr>
          <w:sz w:val="20"/>
          <w:szCs w:val="20"/>
          <w:color w:val="auto"/>
        </w:rPr>
      </w:pPr>
    </w:p>
    <w:p>
      <w:pPr>
        <w:sectPr>
          <w:pgSz w:w="11900" w:h="16838" w:orient="portrait"/>
          <w:cols w:equalWidth="0" w:num="2">
            <w:col w:w="1440" w:space="600"/>
            <w:col w:w="9200"/>
          </w:cols>
          <w:pgMar w:left="320" w:top="1440" w:right="339" w:bottom="1440" w:gutter="0" w:footer="0" w:header="0"/>
          <w:type w:val="continuous"/>
        </w:sect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live and archived webcast of the conference call will be available on the investor relations website at https://ir.niu.com/news-and-events/webcasts-and-presentations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NIU</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the world’s leading provider of smart urban mobility solutions, NIU designs, manufactures and sells high-performance electric motorcycles, mopeds, bicycles, as well as kick-scooters and e-bikes. NIU has a diversified product portfolio that caters to the various demands of our users and addresses different urban travel scenarios. Currently, NIU offers two model lineups, comprising a number of different vehicle types. These include (i) the electric motorcycle, moped and bicycle series, including the NQi, MQi, UQi, FQi series and others, and (ii) the micro-mobility series, including the kick-scooter series KQi and the e-bike series BQi. NIU has adopted an omnichannel retail model, integrating the offline and online channels, to sell its products and provide services to users.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17830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32" w:lineRule="exact"/>
        <w:rPr>
          <w:sz w:val="20"/>
          <w:szCs w:val="20"/>
          <w:color w:val="auto"/>
        </w:rPr>
      </w:pPr>
    </w:p>
    <w:p>
      <w:pPr>
        <w:ind w:left="120" w:hanging="112"/>
        <w:spacing w:after="0"/>
        <w:tabs>
          <w:tab w:leader="none" w:pos="120" w:val="left"/>
        </w:tabs>
        <w:numPr>
          <w:ilvl w:val="0"/>
          <w:numId w:val="1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Adjusted net income (loss) margin is defined as adjusted net income (loss) (non-GAAP) as a percentage of the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436880</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3260090</wp:posOffset>
            </wp:positionH>
            <wp:positionV relativeFrom="page">
              <wp:posOffset>586105</wp:posOffset>
            </wp:positionV>
            <wp:extent cx="1028700" cy="4883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1028700" cy="488315"/>
                    </a:xfrm>
                    <a:prstGeom prst="rect">
                      <a:avLst/>
                    </a:prstGeom>
                    <a:noFill/>
                  </pic:spPr>
                </pic:pic>
              </a:graphicData>
            </a:graphic>
          </wp:anchor>
        </w:drawing>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more information, please visit </w:t>
      </w:r>
      <w:r>
        <w:rPr>
          <w:rFonts w:ascii="Times New Roman" w:cs="Times New Roman" w:eastAsia="Times New Roman" w:hAnsi="Times New Roman"/>
          <w:sz w:val="18"/>
          <w:szCs w:val="18"/>
          <w:u w:val="single" w:color="auto"/>
          <w:color w:val="auto"/>
        </w:rPr>
        <w:t>www.niu.com.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Non-GAAP Financial Measures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To supplement NIU’s consolidated financial results presented in accordance with the accounting principles generally accepted in the United States of America (“GAAP”), NIU uses the following non-GAAP financial measures: adjusted net income (loss) and adjusted net income (loss) margin. The presentation of these non-GAAP financial measures is not intended to be considered in isolation or as a substitute for the financial information prepared and presented in accordance with GAAP. NIU believes that these non-GAAP financial measures provide meaningful supplemental information regarding its performance and liquidity by excluding certain items that may not be indicative of its operating results. The Company believes that both management and investors benefit from referring to these non-GAAP financial measures in assessing its performance and when planning and forecasting future periods. These non-GAAP financial measures also facilitate management’s internal comparisons to NIU’s historical performance. The Company believes these non-GAAP financial measures are useful to investors in allowing for greater transparency with respect to supplemental information used by management in its financial and operational decision making. A limitation of using these non-GAAP financial measures is that these non-GAAP measures exclude certain items that have been and will continue to be for the foreseeable future a significant component in the Company’s results of operations. These non-GAAP financial measures presented here may not be comparable to similarly titled measures presented by other companies. Other companies may calculate similarly titled measures differently, limiting their usefulness as comparative measures to the Company’s data.</w:t>
      </w:r>
    </w:p>
    <w:p>
      <w:pPr>
        <w:spacing w:after="0" w:line="1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Adjusted net income (loss) is defined as net income (loss) excluding share-based compensation expenses. Adjusted net income (loss) margin is defined as adjusted net income (loss) as a percentage of the revenues.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on non-GAAP financial measures, please see the table captioned “Reconciliation of GAAP and Non-GAAP Results”.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Exchange Rate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announcement contains translations of certain RMB amounts into U.S. dollars (“US$”) at specified rates solely for the convenience of the readers. Unless otherwise stated, all translations from RMB to US$ were made at the rate of RMB 6.8980 to US$ 1.00, the exchange rate in effect as of March 31, 2026, as set forth in the H.10 Statistical release of the Board of Governors of the Federal Reserve System. The Company makes no representation that the RMB or US$ amounts referred could be converted into US$ or RMB, as the case may be, at any particular rate or at 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3242945</wp:posOffset>
            </wp:positionH>
            <wp:positionV relativeFrom="page">
              <wp:posOffset>586105</wp:posOffset>
            </wp:positionV>
            <wp:extent cx="1028700" cy="4883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1028700" cy="488315"/>
                    </a:xfrm>
                    <a:prstGeom prst="rect">
                      <a:avLst/>
                    </a:prstGeom>
                    <a:noFill/>
                  </pic:spPr>
                </pic:pic>
              </a:graphicData>
            </a:graphic>
          </wp:anchor>
        </w:drawing>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press release contains forward-looking statements. These statements are made under the “safe harbor” provisions of the U.S. Private Securities Litigation Reform Act of 1995. These forward-looking statements can be identified by terminology such as “will,” “expects,” “anticipates,” “aims,” “future,” “intends,” “plans,” “believes,” “estimates,” “likely to” and similar statements. Among other things, the business outlook and quotations from management in this announcement, as well as NIU’s strategic and operational plans, contain forward-looking statements. NIU may also make written or oral forward-looking statements in its periodic reports to the U.S. Securities and Exchange Commission, in its annual report to shareholders, in press releases and other written materials and in oral statements made by its officers, directors or employees to third parties. Statements that are not historical facts, including statements about NIU’s beliefs, plans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NIU’s strategies; NIU’s future business development, financial condition and results of operations; NIU’s ability to maintain and enhance its “NIU” brand; its ability to innovate and successfully launch new products and services; its ability to maintain and expand its offline distribution network; its ability to satisfy the mandated safety standards relating to e-scooters; its ability to secure supply of components and raw materials used in e-scooters; its ability to manufacture, launch and sell smart e-scooters meeting customer expectations; its ability to grow collaboration with operation partners; its ability to control costs associated with its operations; general economic and business conditions in China and globally; and assumptions underlying or related to any of the foregoing. Further information regarding these and other risks is included in NIU’s filings with the Securities and Exchange Commission. All information provided in this press release is as of the date of this press release, and NIU does not undertake any obligation to update any forward-looking statement, except as required under applicable law.</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Niu Technologies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ir@niu.com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28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3242945</wp:posOffset>
            </wp:positionH>
            <wp:positionV relativeFrom="page">
              <wp:posOffset>448945</wp:posOffset>
            </wp:positionV>
            <wp:extent cx="1028700" cy="4883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1028700" cy="48831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b w:val="1"/>
          <w:bCs w:val="1"/>
          <w:color w:val="auto"/>
        </w:rPr>
        <w:t>NIU TECHNOLOGIES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6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6760" w:type="dxa"/>
            <w:vAlign w:val="bottom"/>
          </w:tcPr>
          <w:p>
            <w:pPr>
              <w:spacing w:after="0"/>
              <w:rPr>
                <w:sz w:val="19"/>
                <w:szCs w:val="19"/>
                <w:color w:val="auto"/>
              </w:rPr>
            </w:pPr>
          </w:p>
        </w:tc>
        <w:tc>
          <w:tcPr>
            <w:tcW w:w="16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5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0" w:type="dxa"/>
            <w:vAlign w:val="bottom"/>
          </w:tcPr>
          <w:p>
            <w:pPr>
              <w:spacing w:after="0"/>
              <w:rPr>
                <w:sz w:val="19"/>
                <w:szCs w:val="19"/>
                <w:color w:val="auto"/>
              </w:rPr>
            </w:pPr>
          </w:p>
        </w:tc>
      </w:tr>
      <w:tr>
        <w:trPr>
          <w:trHeight w:val="210"/>
        </w:trPr>
        <w:tc>
          <w:tcPr>
            <w:tcW w:w="6760" w:type="dxa"/>
            <w:vAlign w:val="bottom"/>
          </w:tcPr>
          <w:p>
            <w:pPr>
              <w:spacing w:after="0"/>
              <w:rPr>
                <w:sz w:val="18"/>
                <w:szCs w:val="18"/>
                <w:color w:val="auto"/>
              </w:rPr>
            </w:pPr>
          </w:p>
        </w:tc>
        <w:tc>
          <w:tcPr>
            <w:tcW w:w="12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340" w:type="dxa"/>
            <w:vAlign w:val="bottom"/>
          </w:tcPr>
          <w:p>
            <w:pPr>
              <w:spacing w:after="0"/>
              <w:rPr>
                <w:sz w:val="18"/>
                <w:szCs w:val="18"/>
                <w:color w:val="auto"/>
              </w:rPr>
            </w:pPr>
          </w:p>
        </w:tc>
        <w:tc>
          <w:tcPr>
            <w:tcW w:w="12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320" w:type="dxa"/>
            <w:vAlign w:val="bottom"/>
          </w:tcPr>
          <w:p>
            <w:pPr>
              <w:spacing w:after="0"/>
              <w:rPr>
                <w:sz w:val="18"/>
                <w:szCs w:val="18"/>
                <w:color w:val="auto"/>
              </w:rPr>
            </w:pPr>
          </w:p>
        </w:tc>
        <w:tc>
          <w:tcPr>
            <w:tcW w:w="12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100" w:type="dxa"/>
            <w:vAlign w:val="bottom"/>
          </w:tcPr>
          <w:p>
            <w:pPr>
              <w:spacing w:after="0"/>
              <w:rPr>
                <w:sz w:val="18"/>
                <w:szCs w:val="18"/>
                <w:color w:val="auto"/>
              </w:rPr>
            </w:pPr>
          </w:p>
        </w:tc>
      </w:tr>
      <w:tr>
        <w:trPr>
          <w:trHeight w:val="209"/>
        </w:trPr>
        <w:tc>
          <w:tcPr>
            <w:tcW w:w="676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34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3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00" w:type="dxa"/>
            <w:vAlign w:val="bottom"/>
          </w:tcPr>
          <w:p>
            <w:pPr>
              <w:spacing w:after="0"/>
              <w:rPr>
                <w:sz w:val="18"/>
                <w:szCs w:val="18"/>
                <w:color w:val="auto"/>
              </w:rPr>
            </w:pPr>
          </w:p>
        </w:tc>
      </w:tr>
      <w:tr>
        <w:trPr>
          <w:trHeight w:val="216"/>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924,738,132</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940,738,981</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136,378,513</w:t>
            </w:r>
          </w:p>
        </w:tc>
      </w:tr>
      <w:tr>
        <w:trPr>
          <w:trHeight w:val="216"/>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 deposits</w:t>
            </w: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128,235,695</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128,016,895</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18,558,552</w:t>
            </w:r>
          </w:p>
        </w:tc>
      </w:tr>
      <w:tr>
        <w:trPr>
          <w:trHeight w:val="216"/>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210,864,000</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211,041,700</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30,594,622</w:t>
            </w:r>
          </w:p>
        </w:tc>
      </w:tr>
      <w:tr>
        <w:trPr>
          <w:trHeight w:val="216"/>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62,661,176</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94,536,731</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13,704,948</w:t>
            </w:r>
          </w:p>
        </w:tc>
      </w:tr>
      <w:tr>
        <w:trPr>
          <w:trHeight w:val="216"/>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37,372,044</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37,102,761</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5,378,771</w:t>
            </w:r>
          </w:p>
        </w:tc>
      </w:tr>
      <w:tr>
        <w:trPr>
          <w:trHeight w:val="216"/>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652,579,651</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728,237,121</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105,572,212</w:t>
            </w:r>
          </w:p>
        </w:tc>
      </w:tr>
      <w:tr>
        <w:trPr>
          <w:trHeight w:val="230"/>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Prepayments and other current assets</w:t>
            </w: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343,536,572</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382,638,713</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55,470,964</w:t>
            </w:r>
          </w:p>
        </w:tc>
      </w:tr>
      <w:tr>
        <w:trPr>
          <w:trHeight w:val="209"/>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2,359,987,270</w:t>
            </w:r>
          </w:p>
        </w:tc>
        <w:tc>
          <w:tcPr>
            <w:tcW w:w="340" w:type="dxa"/>
            <w:vAlign w:val="bottom"/>
            <w:tcBorders>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2,522,312,902</w:t>
            </w:r>
          </w:p>
        </w:tc>
        <w:tc>
          <w:tcPr>
            <w:tcW w:w="32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365,658,582</w:t>
            </w:r>
          </w:p>
        </w:tc>
        <w:tc>
          <w:tcPr>
            <w:tcW w:w="100" w:type="dxa"/>
            <w:vAlign w:val="bottom"/>
            <w:tcBorders>
              <w:bottom w:val="single" w:sz="8" w:color="CCEEFF"/>
            </w:tcBorders>
          </w:tcPr>
          <w:p>
            <w:pPr>
              <w:spacing w:after="0"/>
              <w:rPr>
                <w:sz w:val="18"/>
                <w:szCs w:val="18"/>
                <w:color w:val="auto"/>
              </w:rPr>
            </w:pPr>
          </w:p>
        </w:tc>
      </w:tr>
      <w:tr>
        <w:trPr>
          <w:trHeight w:val="209"/>
        </w:trPr>
        <w:tc>
          <w:tcPr>
            <w:tcW w:w="67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420,173,035</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440,481,955</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63,856,474</w:t>
            </w:r>
          </w:p>
        </w:tc>
      </w:tr>
      <w:tr>
        <w:trPr>
          <w:trHeight w:val="216"/>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776,328</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711,355</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103,125</w:t>
            </w:r>
          </w:p>
        </w:tc>
      </w:tr>
      <w:tr>
        <w:trPr>
          <w:trHeight w:val="216"/>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75,954,225</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74,791,263</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10,842,456</w:t>
            </w:r>
          </w:p>
        </w:tc>
      </w:tr>
      <w:tr>
        <w:trPr>
          <w:trHeight w:val="216"/>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57,457,432</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64,965,215</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9,417,978</w:t>
            </w:r>
          </w:p>
        </w:tc>
      </w:tr>
      <w:tr>
        <w:trPr>
          <w:trHeight w:val="230"/>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35,988,114</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46,549,546</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6,748,267</w:t>
            </w:r>
          </w:p>
        </w:tc>
      </w:tr>
      <w:tr>
        <w:trPr>
          <w:trHeight w:val="209"/>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590,349,134</w:t>
            </w:r>
          </w:p>
        </w:tc>
        <w:tc>
          <w:tcPr>
            <w:tcW w:w="340" w:type="dxa"/>
            <w:vAlign w:val="bottom"/>
            <w:tcBorders>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627,499,334</w:t>
            </w:r>
          </w:p>
        </w:tc>
        <w:tc>
          <w:tcPr>
            <w:tcW w:w="32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90,968,300</w:t>
            </w:r>
          </w:p>
        </w:tc>
        <w:tc>
          <w:tcPr>
            <w:tcW w:w="100" w:type="dxa"/>
            <w:vAlign w:val="bottom"/>
            <w:tcBorders>
              <w:bottom w:val="single" w:sz="8" w:color="CCEEFF"/>
            </w:tcBorders>
          </w:tcPr>
          <w:p>
            <w:pPr>
              <w:spacing w:after="0"/>
              <w:rPr>
                <w:sz w:val="18"/>
                <w:szCs w:val="18"/>
                <w:color w:val="auto"/>
              </w:rPr>
            </w:pPr>
          </w:p>
        </w:tc>
      </w:tr>
      <w:tr>
        <w:trPr>
          <w:trHeight w:val="210"/>
        </w:trPr>
        <w:tc>
          <w:tcPr>
            <w:tcW w:w="67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83"/>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2,950,336,404</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3,149,812,236</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456,626,882</w:t>
            </w:r>
          </w:p>
        </w:tc>
      </w:tr>
      <w:tr>
        <w:trPr>
          <w:trHeight w:val="197"/>
        </w:trPr>
        <w:tc>
          <w:tcPr>
            <w:tcW w:w="676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bank borrowings</w:t>
            </w: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240,000,000</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230,000,000</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33,342,998</w:t>
            </w:r>
          </w:p>
        </w:tc>
      </w:tr>
      <w:tr>
        <w:trPr>
          <w:trHeight w:val="216"/>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payable</w:t>
            </w: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394,285,714</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515,146,575</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74,680,570</w:t>
            </w:r>
          </w:p>
        </w:tc>
      </w:tr>
      <w:tr>
        <w:trPr>
          <w:trHeight w:val="216"/>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704,089,088</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805,617,804</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116,790,056</w:t>
            </w:r>
          </w:p>
        </w:tc>
      </w:tr>
      <w:tr>
        <w:trPr>
          <w:trHeight w:val="216"/>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taxes payable</w:t>
            </w: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2,197,710</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2,159,713</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313,093</w:t>
            </w:r>
          </w:p>
        </w:tc>
      </w:tr>
      <w:tr>
        <w:trPr>
          <w:trHeight w:val="216"/>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Advances from customers</w:t>
            </w: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182,598,444</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232,341,609</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33,682,460</w:t>
            </w:r>
          </w:p>
        </w:tc>
      </w:tr>
      <w:tr>
        <w:trPr>
          <w:trHeight w:val="216"/>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revenue-current</w:t>
            </w: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75,148,049</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74,706,348</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10,830,146</w:t>
            </w:r>
          </w:p>
        </w:tc>
      </w:tr>
      <w:tr>
        <w:trPr>
          <w:trHeight w:val="229"/>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404,813,611</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429,791,597</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62,306,697</w:t>
            </w:r>
          </w:p>
        </w:tc>
      </w:tr>
      <w:tr>
        <w:trPr>
          <w:trHeight w:val="210"/>
        </w:trPr>
        <w:tc>
          <w:tcPr>
            <w:tcW w:w="6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2,003,132,616</w:t>
            </w:r>
          </w:p>
        </w:tc>
        <w:tc>
          <w:tcPr>
            <w:tcW w:w="3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2,289,763,646</w:t>
            </w:r>
          </w:p>
        </w:tc>
        <w:tc>
          <w:tcPr>
            <w:tcW w:w="3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331,946,020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67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revenue-non-current</w:t>
            </w: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23,316,175</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24,029,178</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3,483,499</w:t>
            </w:r>
          </w:p>
        </w:tc>
      </w:tr>
      <w:tr>
        <w:trPr>
          <w:trHeight w:val="216"/>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2,057,892</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3,094,379</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448,591</w:t>
            </w:r>
          </w:p>
        </w:tc>
      </w:tr>
      <w:tr>
        <w:trPr>
          <w:trHeight w:val="216"/>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3,956,501</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2,683,722</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389,058</w:t>
            </w:r>
          </w:p>
        </w:tc>
      </w:tr>
      <w:tr>
        <w:trPr>
          <w:trHeight w:val="230"/>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12,941,916</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12,530,448</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1,816,533</w:t>
            </w:r>
          </w:p>
        </w:tc>
      </w:tr>
      <w:tr>
        <w:trPr>
          <w:trHeight w:val="209"/>
        </w:trPr>
        <w:tc>
          <w:tcPr>
            <w:tcW w:w="6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42,272,484</w:t>
            </w:r>
          </w:p>
        </w:tc>
        <w:tc>
          <w:tcPr>
            <w:tcW w:w="3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42,337,727</w:t>
            </w:r>
          </w:p>
        </w:tc>
        <w:tc>
          <w:tcPr>
            <w:tcW w:w="3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6,137,681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67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2,045,405,100</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2,332,101,373</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338,083,701</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6"/>
        </w:trPr>
        <w:tc>
          <w:tcPr>
            <w:tcW w:w="67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1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A ordinary shares</w:t>
            </w: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91,796</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92,293</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13,380</w:t>
            </w:r>
          </w:p>
        </w:tc>
      </w:tr>
      <w:tr>
        <w:trPr>
          <w:trHeight w:val="216"/>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B ordinary shares</w:t>
            </w: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9,504</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9,504</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1,378</w:t>
            </w:r>
          </w:p>
        </w:tc>
      </w:tr>
      <w:tr>
        <w:trPr>
          <w:trHeight w:val="216"/>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2,016,533,709</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2,022,446,660</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293,193,195</w:t>
            </w:r>
          </w:p>
        </w:tc>
      </w:tr>
      <w:tr>
        <w:trPr>
          <w:trHeight w:val="216"/>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6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(17,990,674)</w:t>
            </w:r>
          </w:p>
        </w:tc>
        <w:tc>
          <w:tcPr>
            <w:tcW w:w="15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(17,203,163)</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(2,493,935)</w:t>
            </w:r>
          </w:p>
        </w:tc>
      </w:tr>
      <w:tr>
        <w:trPr>
          <w:trHeight w:val="230"/>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16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(1,093,713,031)</w:t>
            </w:r>
          </w:p>
        </w:tc>
        <w:tc>
          <w:tcPr>
            <w:tcW w:w="1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(1,187,634,431)</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(172,170,837)</w:t>
            </w:r>
          </w:p>
        </w:tc>
      </w:tr>
      <w:tr>
        <w:trPr>
          <w:trHeight w:val="210"/>
        </w:trPr>
        <w:tc>
          <w:tcPr>
            <w:tcW w:w="6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904,931,304</w:t>
            </w:r>
          </w:p>
        </w:tc>
        <w:tc>
          <w:tcPr>
            <w:tcW w:w="3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817,710,863</w:t>
            </w:r>
          </w:p>
        </w:tc>
        <w:tc>
          <w:tcPr>
            <w:tcW w:w="3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118,543,181</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67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2,950,336,404</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3,149,812,236</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456,626,882</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440"/>
        </w:trPr>
        <w:tc>
          <w:tcPr>
            <w:tcW w:w="67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440" w:right="339" w:bottom="1440"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3242945</wp:posOffset>
            </wp:positionH>
            <wp:positionV relativeFrom="page">
              <wp:posOffset>586105</wp:posOffset>
            </wp:positionV>
            <wp:extent cx="1028700" cy="4883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1028700" cy="488315"/>
                    </a:xfrm>
                    <a:prstGeom prst="rect">
                      <a:avLst/>
                    </a:prstGeom>
                    <a:noFill/>
                  </pic:spPr>
                </pic:pic>
              </a:graphicData>
            </a:graphic>
          </wp:anchor>
        </w:drawing>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NIU TECHNOLOGIES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COMPREHENSIVE INCOME (LOSS)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60" w:type="dxa"/>
            <w:vAlign w:val="bottom"/>
          </w:tcPr>
          <w:p>
            <w:pPr>
              <w:spacing w:after="0"/>
              <w:rPr>
                <w:sz w:val="20"/>
                <w:szCs w:val="20"/>
                <w:color w:val="auto"/>
              </w:rPr>
            </w:pPr>
          </w:p>
        </w:tc>
        <w:tc>
          <w:tcPr>
            <w:tcW w:w="4480" w:type="dxa"/>
            <w:vAlign w:val="bottom"/>
            <w:gridSpan w:val="7"/>
          </w:tcPr>
          <w:p>
            <w:pPr>
              <w:jc w:val="center"/>
              <w:ind w:right="21"/>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w:t>
            </w:r>
          </w:p>
        </w:tc>
      </w:tr>
      <w:tr>
        <w:trPr>
          <w:trHeight w:val="223"/>
        </w:trPr>
        <w:tc>
          <w:tcPr>
            <w:tcW w:w="676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340" w:type="dxa"/>
            <w:vAlign w:val="bottom"/>
            <w:tcBorders>
              <w:top w:val="single" w:sz="8" w:color="auto"/>
            </w:tcBorders>
          </w:tcPr>
          <w:p>
            <w:pPr>
              <w:spacing w:after="0"/>
              <w:rPr>
                <w:sz w:val="19"/>
                <w:szCs w:val="19"/>
                <w:color w:val="auto"/>
              </w:rPr>
            </w:pPr>
          </w:p>
        </w:tc>
        <w:tc>
          <w:tcPr>
            <w:tcW w:w="1680" w:type="dxa"/>
            <w:vAlign w:val="bottom"/>
            <w:tcBorders>
              <w:top w:val="single" w:sz="8" w:color="auto"/>
              <w:bottom w:val="single" w:sz="8" w:color="auto"/>
            </w:tcBorders>
            <w:gridSpan w:val="3"/>
          </w:tcPr>
          <w:p>
            <w:pPr>
              <w:ind w:left="120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10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9"/>
        </w:trPr>
        <w:tc>
          <w:tcPr>
            <w:tcW w:w="676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340" w:type="dxa"/>
            <w:vAlign w:val="bottom"/>
          </w:tcPr>
          <w:p>
            <w:pPr>
              <w:spacing w:after="0"/>
              <w:rPr>
                <w:sz w:val="18"/>
                <w:szCs w:val="18"/>
                <w:color w:val="auto"/>
              </w:rPr>
            </w:pPr>
          </w:p>
        </w:tc>
        <w:tc>
          <w:tcPr>
            <w:tcW w:w="168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11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18"/>
                <w:szCs w:val="18"/>
                <w:color w:val="auto"/>
              </w:rPr>
            </w:pPr>
          </w:p>
        </w:tc>
      </w:tr>
      <w:tr>
        <w:trPr>
          <w:trHeight w:val="216"/>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60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681,988,452</w:t>
            </w:r>
          </w:p>
        </w:tc>
        <w:tc>
          <w:tcPr>
            <w:tcW w:w="154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909,524,362</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131,853,343</w:t>
            </w:r>
          </w:p>
        </w:tc>
      </w:tr>
      <w:tr>
        <w:trPr>
          <w:trHeight w:val="270"/>
        </w:trPr>
        <w:tc>
          <w:tcPr>
            <w:tcW w:w="6760" w:type="dxa"/>
            <w:vAlign w:val="bottom"/>
          </w:tcPr>
          <w:p>
            <w:pPr>
              <w:ind w:left="20"/>
              <w:spacing w:after="0" w:line="270" w:lineRule="exact"/>
              <w:rPr>
                <w:sz w:val="20"/>
                <w:szCs w:val="20"/>
                <w:color w:val="auto"/>
              </w:rPr>
            </w:pPr>
            <w:r>
              <w:rPr>
                <w:rFonts w:ascii="Times New Roman" w:cs="Times New Roman" w:eastAsia="Times New Roman" w:hAnsi="Times New Roman"/>
                <w:sz w:val="18"/>
                <w:szCs w:val="18"/>
                <w:color w:val="auto"/>
              </w:rPr>
              <w:t>Cost of revenues</w:t>
            </w:r>
            <w:r>
              <w:rPr>
                <w:rFonts w:ascii="Times New Roman" w:cs="Times New Roman" w:eastAsia="Times New Roman" w:hAnsi="Times New Roman"/>
                <w:sz w:val="29"/>
                <w:szCs w:val="29"/>
                <w:color w:val="auto"/>
                <w:vertAlign w:val="superscript"/>
              </w:rPr>
              <w:t>(a)</w:t>
            </w:r>
          </w:p>
        </w:tc>
        <w:tc>
          <w:tcPr>
            <w:tcW w:w="160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(563,907,241)</w:t>
            </w:r>
          </w:p>
        </w:tc>
        <w:tc>
          <w:tcPr>
            <w:tcW w:w="15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(750,975,863)</w:t>
            </w:r>
          </w:p>
        </w:tc>
        <w:tc>
          <w:tcPr>
            <w:tcW w:w="140" w:type="dxa"/>
            <w:vAlign w:val="bottom"/>
          </w:tcPr>
          <w:p>
            <w:pPr>
              <w:spacing w:after="0"/>
              <w:rPr>
                <w:sz w:val="23"/>
                <w:szCs w:val="23"/>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(108,868,638)</w:t>
            </w:r>
          </w:p>
        </w:tc>
      </w:tr>
      <w:tr>
        <w:trPr>
          <w:trHeight w:val="210"/>
        </w:trPr>
        <w:tc>
          <w:tcPr>
            <w:tcW w:w="6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118,081,211</w:t>
            </w:r>
          </w:p>
        </w:tc>
        <w:tc>
          <w:tcPr>
            <w:tcW w:w="3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158,548,499</w:t>
            </w: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22,984,705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7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57"/>
        </w:trPr>
        <w:tc>
          <w:tcPr>
            <w:tcW w:w="6760" w:type="dxa"/>
            <w:vAlign w:val="bottom"/>
          </w:tcPr>
          <w:p>
            <w:pPr>
              <w:ind w:left="20"/>
              <w:spacing w:after="0" w:line="256" w:lineRule="exact"/>
              <w:rPr>
                <w:sz w:val="20"/>
                <w:szCs w:val="20"/>
                <w:color w:val="auto"/>
              </w:rPr>
            </w:pPr>
            <w:r>
              <w:rPr>
                <w:rFonts w:ascii="Times New Roman" w:cs="Times New Roman" w:eastAsia="Times New Roman" w:hAnsi="Times New Roman"/>
                <w:sz w:val="18"/>
                <w:szCs w:val="18"/>
                <w:color w:val="auto"/>
              </w:rPr>
              <w:t>Selling and marketing expenses</w:t>
            </w:r>
            <w:r>
              <w:rPr>
                <w:rFonts w:ascii="Times New Roman" w:cs="Times New Roman" w:eastAsia="Times New Roman" w:hAnsi="Times New Roman"/>
                <w:sz w:val="29"/>
                <w:szCs w:val="29"/>
                <w:color w:val="auto"/>
                <w:vertAlign w:val="superscript"/>
              </w:rPr>
              <w:t>(a)</w:t>
            </w:r>
          </w:p>
        </w:tc>
        <w:tc>
          <w:tcPr>
            <w:tcW w:w="160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(114,597,915)</w:t>
            </w:r>
          </w:p>
        </w:tc>
        <w:tc>
          <w:tcPr>
            <w:tcW w:w="15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(179,708,335)</w:t>
            </w:r>
          </w:p>
        </w:tc>
        <w:tc>
          <w:tcPr>
            <w:tcW w:w="140" w:type="dxa"/>
            <w:vAlign w:val="bottom"/>
          </w:tcPr>
          <w:p>
            <w:pPr>
              <w:spacing w:after="0"/>
              <w:rPr>
                <w:sz w:val="22"/>
                <w:szCs w:val="22"/>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(26,052,238)</w:t>
            </w:r>
          </w:p>
        </w:tc>
      </w:tr>
      <w:tr>
        <w:trPr>
          <w:trHeight w:val="257"/>
        </w:trPr>
        <w:tc>
          <w:tcPr>
            <w:tcW w:w="6760" w:type="dxa"/>
            <w:vAlign w:val="bottom"/>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Research and development expenses</w:t>
            </w:r>
            <w:r>
              <w:rPr>
                <w:rFonts w:ascii="Times New Roman" w:cs="Times New Roman" w:eastAsia="Times New Roman" w:hAnsi="Times New Roman"/>
                <w:sz w:val="29"/>
                <w:szCs w:val="29"/>
                <w:color w:val="auto"/>
                <w:vertAlign w:val="superscript"/>
              </w:rPr>
              <w:t>(a)</w:t>
            </w:r>
          </w:p>
        </w:tc>
        <w:tc>
          <w:tcPr>
            <w:tcW w:w="160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(29,801,606)</w:t>
            </w:r>
          </w:p>
        </w:tc>
        <w:tc>
          <w:tcPr>
            <w:tcW w:w="154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(41,355,739)</w:t>
            </w:r>
          </w:p>
        </w:tc>
        <w:tc>
          <w:tcPr>
            <w:tcW w:w="14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(5,995,323)</w:t>
            </w:r>
          </w:p>
        </w:tc>
      </w:tr>
      <w:tr>
        <w:trPr>
          <w:trHeight w:val="270"/>
        </w:trPr>
        <w:tc>
          <w:tcPr>
            <w:tcW w:w="6760" w:type="dxa"/>
            <w:vAlign w:val="bottom"/>
          </w:tcPr>
          <w:p>
            <w:pPr>
              <w:ind w:left="20"/>
              <w:spacing w:after="0" w:line="270" w:lineRule="exact"/>
              <w:rPr>
                <w:sz w:val="20"/>
                <w:szCs w:val="20"/>
                <w:color w:val="auto"/>
              </w:rPr>
            </w:pPr>
            <w:r>
              <w:rPr>
                <w:rFonts w:ascii="Times New Roman" w:cs="Times New Roman" w:eastAsia="Times New Roman" w:hAnsi="Times New Roman"/>
                <w:sz w:val="18"/>
                <w:szCs w:val="18"/>
                <w:color w:val="auto"/>
              </w:rPr>
              <w:t>General and administrative expenses</w:t>
            </w:r>
            <w:r>
              <w:rPr>
                <w:rFonts w:ascii="Times New Roman" w:cs="Times New Roman" w:eastAsia="Times New Roman" w:hAnsi="Times New Roman"/>
                <w:sz w:val="29"/>
                <w:szCs w:val="29"/>
                <w:color w:val="auto"/>
                <w:vertAlign w:val="superscript"/>
              </w:rPr>
              <w:t>(a)</w:t>
            </w:r>
          </w:p>
        </w:tc>
        <w:tc>
          <w:tcPr>
            <w:tcW w:w="160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(20,650,614)</w:t>
            </w:r>
          </w:p>
        </w:tc>
        <w:tc>
          <w:tcPr>
            <w:tcW w:w="15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(42,490,711)</w:t>
            </w:r>
          </w:p>
        </w:tc>
        <w:tc>
          <w:tcPr>
            <w:tcW w:w="140" w:type="dxa"/>
            <w:vAlign w:val="bottom"/>
          </w:tcPr>
          <w:p>
            <w:pPr>
              <w:spacing w:after="0"/>
              <w:rPr>
                <w:sz w:val="23"/>
                <w:szCs w:val="23"/>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(6,159,860)</w:t>
            </w:r>
          </w:p>
        </w:tc>
      </w:tr>
      <w:tr>
        <w:trPr>
          <w:trHeight w:val="210"/>
        </w:trPr>
        <w:tc>
          <w:tcPr>
            <w:tcW w:w="6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(165,050,135)</w:t>
            </w:r>
          </w:p>
        </w:tc>
        <w:tc>
          <w:tcPr>
            <w:tcW w:w="3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(263,554,785)</w:t>
            </w: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(38,207,421)</w:t>
            </w: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Government grants</w:t>
            </w:r>
          </w:p>
        </w:tc>
        <w:tc>
          <w:tcPr>
            <w:tcW w:w="160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386,890</w:t>
            </w:r>
          </w:p>
        </w:tc>
        <w:tc>
          <w:tcPr>
            <w:tcW w:w="154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572,874</w:t>
            </w:r>
          </w:p>
        </w:tc>
        <w:tc>
          <w:tcPr>
            <w:tcW w:w="140" w:type="dxa"/>
            <w:vAlign w:val="bottom"/>
          </w:tcPr>
          <w:p>
            <w:pPr>
              <w:spacing w:after="0"/>
              <w:rPr>
                <w:sz w:val="19"/>
                <w:szCs w:val="19"/>
                <w:color w:val="auto"/>
              </w:rPr>
            </w:pPr>
          </w:p>
        </w:tc>
        <w:tc>
          <w:tcPr>
            <w:tcW w:w="12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83,049</w:t>
            </w:r>
          </w:p>
        </w:tc>
      </w:tr>
      <w:tr>
        <w:trPr>
          <w:trHeight w:val="210"/>
        </w:trPr>
        <w:tc>
          <w:tcPr>
            <w:tcW w:w="6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(46,582,034)</w:t>
            </w:r>
          </w:p>
        </w:tc>
        <w:tc>
          <w:tcPr>
            <w:tcW w:w="3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(104,433,412)</w:t>
            </w: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(15,139,667)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7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expenses</w:t>
            </w:r>
          </w:p>
        </w:tc>
        <w:tc>
          <w:tcPr>
            <w:tcW w:w="160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(1,411,322)</w:t>
            </w:r>
          </w:p>
        </w:tc>
        <w:tc>
          <w:tcPr>
            <w:tcW w:w="154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(1,483,612)</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(215,079)</w:t>
            </w:r>
          </w:p>
        </w:tc>
      </w:tr>
      <w:tr>
        <w:trPr>
          <w:trHeight w:val="216"/>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60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6,893,472</w:t>
            </w:r>
          </w:p>
        </w:tc>
        <w:tc>
          <w:tcPr>
            <w:tcW w:w="154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5,522,944</w:t>
            </w:r>
          </w:p>
        </w:tc>
        <w:tc>
          <w:tcPr>
            <w:tcW w:w="140" w:type="dxa"/>
            <w:vAlign w:val="bottom"/>
          </w:tcPr>
          <w:p>
            <w:pPr>
              <w:spacing w:after="0"/>
              <w:rPr>
                <w:sz w:val="18"/>
                <w:szCs w:val="18"/>
                <w:color w:val="auto"/>
              </w:rPr>
            </w:pPr>
          </w:p>
        </w:tc>
        <w:tc>
          <w:tcPr>
            <w:tcW w:w="12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800,659</w:t>
            </w:r>
          </w:p>
        </w:tc>
      </w:tr>
      <w:tr>
        <w:trPr>
          <w:trHeight w:val="230"/>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income</w:t>
            </w:r>
          </w:p>
        </w:tc>
        <w:tc>
          <w:tcPr>
            <w:tcW w:w="160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7,780</w:t>
            </w:r>
          </w:p>
        </w:tc>
        <w:tc>
          <w:tcPr>
            <w:tcW w:w="154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63,529</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9,210</w:t>
            </w:r>
          </w:p>
        </w:tc>
      </w:tr>
      <w:tr>
        <w:trPr>
          <w:trHeight w:val="210"/>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(41,092,104)</w:t>
            </w:r>
          </w:p>
        </w:tc>
        <w:tc>
          <w:tcPr>
            <w:tcW w:w="340" w:type="dxa"/>
            <w:vAlign w:val="bottom"/>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(100,330,551)</w:t>
            </w:r>
          </w:p>
        </w:tc>
        <w:tc>
          <w:tcPr>
            <w:tcW w:w="3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(14,544,877)</w:t>
            </w:r>
          </w:p>
        </w:tc>
        <w:tc>
          <w:tcPr>
            <w:tcW w:w="100" w:type="dxa"/>
            <w:vAlign w:val="bottom"/>
          </w:tcPr>
          <w:p>
            <w:pPr>
              <w:spacing w:after="0"/>
              <w:rPr>
                <w:sz w:val="18"/>
                <w:szCs w:val="18"/>
                <w:color w:val="auto"/>
              </w:rPr>
            </w:pPr>
          </w:p>
        </w:tc>
      </w:tr>
      <w:tr>
        <w:trPr>
          <w:trHeight w:val="230"/>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160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2,247,384</w:t>
            </w:r>
          </w:p>
        </w:tc>
        <w:tc>
          <w:tcPr>
            <w:tcW w:w="154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6,409,151</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929,132</w:t>
            </w:r>
          </w:p>
        </w:tc>
      </w:tr>
      <w:tr>
        <w:trPr>
          <w:trHeight w:val="263"/>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(38,844,720</w:t>
            </w:r>
          </w:p>
        </w:tc>
        <w:tc>
          <w:tcPr>
            <w:tcW w:w="340" w:type="dxa"/>
            <w:vAlign w:val="bottom"/>
            <w:tcBorders>
              <w:bottom w:val="single" w:sz="8" w:color="CCEEFF"/>
            </w:tcBorders>
          </w:tcPr>
          <w:p>
            <w:pPr>
              <w:jc w:val="right"/>
              <w:ind w:right="20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(93,921,400</w:t>
            </w:r>
          </w:p>
        </w:tc>
        <w:tc>
          <w:tcPr>
            <w:tcW w:w="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(13,615,745</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196"/>
        </w:trPr>
        <w:tc>
          <w:tcPr>
            <w:tcW w:w="67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 net of nil income taxes</w:t>
            </w:r>
          </w:p>
        </w:tc>
        <w:tc>
          <w:tcPr>
            <w:tcW w:w="160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(2,995,210)</w:t>
            </w:r>
          </w:p>
        </w:tc>
        <w:tc>
          <w:tcPr>
            <w:tcW w:w="154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787,511</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114,165</w:t>
            </w:r>
          </w:p>
        </w:tc>
      </w:tr>
      <w:tr>
        <w:trPr>
          <w:trHeight w:val="263"/>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(41,839,930</w:t>
            </w:r>
          </w:p>
        </w:tc>
        <w:tc>
          <w:tcPr>
            <w:tcW w:w="340" w:type="dxa"/>
            <w:vAlign w:val="bottom"/>
            <w:tcBorders>
              <w:bottom w:val="single" w:sz="8" w:color="CCEEFF"/>
            </w:tcBorders>
          </w:tcPr>
          <w:p>
            <w:pPr>
              <w:jc w:val="right"/>
              <w:ind w:right="20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(93,133,889</w:t>
            </w:r>
          </w:p>
        </w:tc>
        <w:tc>
          <w:tcPr>
            <w:tcW w:w="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(13,501,580</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196"/>
        </w:trPr>
        <w:tc>
          <w:tcPr>
            <w:tcW w:w="67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Net loss per ordinary share</w:t>
            </w:r>
          </w:p>
        </w:tc>
        <w:tc>
          <w:tcPr>
            <w:tcW w:w="1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160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(0.24)</w:t>
            </w:r>
          </w:p>
        </w:tc>
        <w:tc>
          <w:tcPr>
            <w:tcW w:w="15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(0.58)</w:t>
            </w:r>
          </w:p>
        </w:tc>
        <w:tc>
          <w:tcPr>
            <w:tcW w:w="14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(0.08)</w:t>
            </w:r>
          </w:p>
        </w:tc>
      </w:tr>
      <w:tr>
        <w:trPr>
          <w:trHeight w:val="216"/>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160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(0.24)</w:t>
            </w:r>
          </w:p>
        </w:tc>
        <w:tc>
          <w:tcPr>
            <w:tcW w:w="154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(0.58)</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r>
      <w:tr>
        <w:trPr>
          <w:trHeight w:val="216"/>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per ADS</w:t>
            </w: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160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(0.49)</w:t>
            </w:r>
          </w:p>
        </w:tc>
        <w:tc>
          <w:tcPr>
            <w:tcW w:w="154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(1.16)</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w:t>
            </w:r>
          </w:p>
        </w:tc>
      </w:tr>
      <w:tr>
        <w:trPr>
          <w:trHeight w:val="216"/>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160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(0.49)</w:t>
            </w:r>
          </w:p>
        </w:tc>
        <w:tc>
          <w:tcPr>
            <w:tcW w:w="15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(1.16)</w:t>
            </w:r>
          </w:p>
        </w:tc>
        <w:tc>
          <w:tcPr>
            <w:tcW w:w="14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(0.17)</w:t>
            </w:r>
          </w:p>
        </w:tc>
      </w:tr>
      <w:tr>
        <w:trPr>
          <w:trHeight w:val="216"/>
        </w:trPr>
        <w:tc>
          <w:tcPr>
            <w:tcW w:w="67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4"/>
        </w:trPr>
        <w:tc>
          <w:tcPr>
            <w:tcW w:w="676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Weighted average number of ordinary shares and ordinary shares equivalents</w:t>
            </w:r>
          </w:p>
        </w:tc>
        <w:tc>
          <w:tcPr>
            <w:tcW w:w="1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used in computing net loss per ordinary share</w:t>
            </w:r>
          </w:p>
        </w:tc>
        <w:tc>
          <w:tcPr>
            <w:tcW w:w="1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160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159,329,261</w:t>
            </w:r>
          </w:p>
        </w:tc>
        <w:tc>
          <w:tcPr>
            <w:tcW w:w="154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161,698,134</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161,698,134</w:t>
            </w:r>
          </w:p>
        </w:tc>
      </w:tr>
      <w:tr>
        <w:trPr>
          <w:trHeight w:val="216"/>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160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159,329,261</w:t>
            </w:r>
          </w:p>
        </w:tc>
        <w:tc>
          <w:tcPr>
            <w:tcW w:w="154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161,698,134</w:t>
            </w:r>
          </w:p>
        </w:tc>
        <w:tc>
          <w:tcPr>
            <w:tcW w:w="140" w:type="dxa"/>
            <w:vAlign w:val="bottom"/>
          </w:tcPr>
          <w:p>
            <w:pPr>
              <w:spacing w:after="0"/>
              <w:rPr>
                <w:sz w:val="18"/>
                <w:szCs w:val="18"/>
                <w:color w:val="auto"/>
              </w:rPr>
            </w:pPr>
          </w:p>
        </w:tc>
        <w:tc>
          <w:tcPr>
            <w:tcW w:w="12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161,698,134</w:t>
            </w:r>
          </w:p>
        </w:tc>
      </w:tr>
      <w:tr>
        <w:trPr>
          <w:trHeight w:val="216"/>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number of ADS outstanding used in computing net loss per ADS</w:t>
            </w:r>
          </w:p>
        </w:tc>
        <w:tc>
          <w:tcPr>
            <w:tcW w:w="1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160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79,664,631</w:t>
            </w:r>
          </w:p>
        </w:tc>
        <w:tc>
          <w:tcPr>
            <w:tcW w:w="154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80,849,067</w:t>
            </w:r>
          </w:p>
        </w:tc>
        <w:tc>
          <w:tcPr>
            <w:tcW w:w="140" w:type="dxa"/>
            <w:vAlign w:val="bottom"/>
          </w:tcPr>
          <w:p>
            <w:pPr>
              <w:spacing w:after="0"/>
              <w:rPr>
                <w:sz w:val="18"/>
                <w:szCs w:val="18"/>
                <w:color w:val="auto"/>
              </w:rPr>
            </w:pPr>
          </w:p>
        </w:tc>
        <w:tc>
          <w:tcPr>
            <w:tcW w:w="12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80,849,067</w:t>
            </w:r>
          </w:p>
        </w:tc>
      </w:tr>
      <w:tr>
        <w:trPr>
          <w:trHeight w:val="216"/>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160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79,664,631</w:t>
            </w:r>
          </w:p>
        </w:tc>
        <w:tc>
          <w:tcPr>
            <w:tcW w:w="154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80,849,067</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80,849,067</w:t>
            </w:r>
          </w:p>
        </w:tc>
      </w:tr>
      <w:tr>
        <w:trPr>
          <w:trHeight w:val="441"/>
        </w:trPr>
        <w:tc>
          <w:tcPr>
            <w:tcW w:w="6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w:t>
            </w: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(a) Includes share-based compensation expenses as follows:</w:t>
            </w:r>
          </w:p>
        </w:tc>
        <w:tc>
          <w:tcPr>
            <w:tcW w:w="1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73"/>
        </w:trPr>
        <w:tc>
          <w:tcPr>
            <w:tcW w:w="6760" w:type="dxa"/>
            <w:vAlign w:val="bottom"/>
          </w:tcPr>
          <w:p>
            <w:pPr>
              <w:spacing w:after="0"/>
              <w:rPr>
                <w:sz w:val="24"/>
                <w:szCs w:val="24"/>
                <w:color w:val="auto"/>
              </w:rPr>
            </w:pPr>
          </w:p>
        </w:tc>
        <w:tc>
          <w:tcPr>
            <w:tcW w:w="4480" w:type="dxa"/>
            <w:vAlign w:val="bottom"/>
            <w:gridSpan w:val="7"/>
          </w:tcPr>
          <w:p>
            <w:pPr>
              <w:jc w:val="center"/>
              <w:ind w:right="21"/>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w:t>
            </w:r>
          </w:p>
        </w:tc>
      </w:tr>
      <w:tr>
        <w:trPr>
          <w:trHeight w:val="223"/>
        </w:trPr>
        <w:tc>
          <w:tcPr>
            <w:tcW w:w="676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340" w:type="dxa"/>
            <w:vAlign w:val="bottom"/>
            <w:tcBorders>
              <w:top w:val="single" w:sz="8" w:color="auto"/>
            </w:tcBorders>
          </w:tcPr>
          <w:p>
            <w:pPr>
              <w:spacing w:after="0"/>
              <w:rPr>
                <w:sz w:val="19"/>
                <w:szCs w:val="19"/>
                <w:color w:val="auto"/>
              </w:rPr>
            </w:pPr>
          </w:p>
        </w:tc>
        <w:tc>
          <w:tcPr>
            <w:tcW w:w="1680" w:type="dxa"/>
            <w:vAlign w:val="bottom"/>
            <w:tcBorders>
              <w:top w:val="single" w:sz="8" w:color="auto"/>
              <w:bottom w:val="single" w:sz="8" w:color="auto"/>
            </w:tcBorders>
            <w:gridSpan w:val="3"/>
          </w:tcPr>
          <w:p>
            <w:pPr>
              <w:ind w:left="120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10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9"/>
        </w:trPr>
        <w:tc>
          <w:tcPr>
            <w:tcW w:w="676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340" w:type="dxa"/>
            <w:vAlign w:val="bottom"/>
          </w:tcPr>
          <w:p>
            <w:pPr>
              <w:spacing w:after="0"/>
              <w:rPr>
                <w:sz w:val="18"/>
                <w:szCs w:val="18"/>
                <w:color w:val="auto"/>
              </w:rPr>
            </w:pPr>
          </w:p>
        </w:tc>
        <w:tc>
          <w:tcPr>
            <w:tcW w:w="168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11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18"/>
                <w:szCs w:val="18"/>
                <w:color w:val="auto"/>
              </w:rPr>
            </w:pPr>
          </w:p>
        </w:tc>
      </w:tr>
      <w:tr>
        <w:trPr>
          <w:trHeight w:val="216"/>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160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253,508</w:t>
            </w:r>
          </w:p>
        </w:tc>
        <w:tc>
          <w:tcPr>
            <w:tcW w:w="154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148,380</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21,511</w:t>
            </w:r>
          </w:p>
        </w:tc>
      </w:tr>
      <w:tr>
        <w:trPr>
          <w:trHeight w:val="216"/>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160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1,662,077</w:t>
            </w:r>
          </w:p>
        </w:tc>
        <w:tc>
          <w:tcPr>
            <w:tcW w:w="154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927,749</w:t>
            </w:r>
          </w:p>
        </w:tc>
        <w:tc>
          <w:tcPr>
            <w:tcW w:w="140" w:type="dxa"/>
            <w:vAlign w:val="bottom"/>
          </w:tcPr>
          <w:p>
            <w:pPr>
              <w:spacing w:after="0"/>
              <w:rPr>
                <w:sz w:val="18"/>
                <w:szCs w:val="18"/>
                <w:color w:val="auto"/>
              </w:rPr>
            </w:pPr>
          </w:p>
        </w:tc>
        <w:tc>
          <w:tcPr>
            <w:tcW w:w="12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134,495</w:t>
            </w:r>
          </w:p>
        </w:tc>
      </w:tr>
      <w:tr>
        <w:trPr>
          <w:trHeight w:val="216"/>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60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2,626,530</w:t>
            </w:r>
          </w:p>
        </w:tc>
        <w:tc>
          <w:tcPr>
            <w:tcW w:w="154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1,901,702</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275,689</w:t>
            </w:r>
          </w:p>
        </w:tc>
      </w:tr>
      <w:tr>
        <w:trPr>
          <w:trHeight w:val="230"/>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60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2,947,992</w:t>
            </w:r>
          </w:p>
        </w:tc>
        <w:tc>
          <w:tcPr>
            <w:tcW w:w="154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2,935,120</w:t>
            </w:r>
          </w:p>
        </w:tc>
        <w:tc>
          <w:tcPr>
            <w:tcW w:w="140" w:type="dxa"/>
            <w:vAlign w:val="bottom"/>
          </w:tcPr>
          <w:p>
            <w:pPr>
              <w:spacing w:after="0"/>
              <w:rPr>
                <w:sz w:val="19"/>
                <w:szCs w:val="19"/>
                <w:color w:val="auto"/>
              </w:rPr>
            </w:pPr>
          </w:p>
        </w:tc>
        <w:tc>
          <w:tcPr>
            <w:tcW w:w="12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425,503</w:t>
            </w:r>
          </w:p>
        </w:tc>
      </w:tr>
      <w:tr>
        <w:trPr>
          <w:trHeight w:val="209"/>
        </w:trPr>
        <w:tc>
          <w:tcPr>
            <w:tcW w:w="6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share-based compensation expenses</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7,490,107</w:t>
            </w:r>
          </w:p>
        </w:tc>
        <w:tc>
          <w:tcPr>
            <w:tcW w:w="3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5,912,951</w:t>
            </w: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857,198</w:t>
            </w:r>
          </w:p>
        </w:tc>
        <w:tc>
          <w:tcPr>
            <w:tcW w:w="100" w:type="dxa"/>
            <w:vAlign w:val="bottom"/>
            <w:tcBorders>
              <w:top w:val="single" w:sz="8" w:color="CCEEFF"/>
            </w:tcBorders>
            <w:shd w:val="clear" w:color="auto" w:fill="CCEEFF"/>
          </w:tcPr>
          <w:p>
            <w:pPr>
              <w:spacing w:after="0"/>
              <w:rPr>
                <w:sz w:val="18"/>
                <w:szCs w:val="18"/>
                <w:color w:val="auto"/>
              </w:rPr>
            </w:pPr>
          </w:p>
        </w:tc>
      </w:tr>
      <w:tr>
        <w:trPr>
          <w:trHeight w:val="675"/>
        </w:trPr>
        <w:tc>
          <w:tcPr>
            <w:tcW w:w="67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440" w:right="339" w:bottom="1440" w:gutter="0" w:footer="0" w:header="0"/>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3242945</wp:posOffset>
            </wp:positionH>
            <wp:positionV relativeFrom="page">
              <wp:posOffset>586105</wp:posOffset>
            </wp:positionV>
            <wp:extent cx="1028700" cy="4883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1028700" cy="488315"/>
                    </a:xfrm>
                    <a:prstGeom prst="rect">
                      <a:avLst/>
                    </a:prstGeom>
                    <a:noFill/>
                  </pic:spPr>
                </pic:pic>
              </a:graphicData>
            </a:graphic>
          </wp:anchor>
        </w:drawing>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NIU TECHNOLOGIES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GAAP AND NON-GAAP RESULTS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60" w:type="dxa"/>
            <w:vAlign w:val="bottom"/>
          </w:tcPr>
          <w:p>
            <w:pPr>
              <w:spacing w:after="0"/>
              <w:rPr>
                <w:sz w:val="20"/>
                <w:szCs w:val="20"/>
                <w:color w:val="auto"/>
              </w:rPr>
            </w:pPr>
          </w:p>
        </w:tc>
        <w:tc>
          <w:tcPr>
            <w:tcW w:w="3460" w:type="dxa"/>
            <w:vAlign w:val="bottom"/>
            <w:tcBorders>
              <w:bottom w:val="single" w:sz="8" w:color="auto"/>
            </w:tcBorders>
            <w:gridSpan w:val="5"/>
          </w:tcPr>
          <w:p>
            <w:pPr>
              <w:jc w:val="center"/>
              <w:ind w:left="83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6760" w:type="dxa"/>
            <w:vAlign w:val="bottom"/>
          </w:tcPr>
          <w:p>
            <w:pPr>
              <w:spacing w:after="0"/>
              <w:rPr>
                <w:sz w:val="19"/>
                <w:szCs w:val="19"/>
                <w:color w:val="auto"/>
              </w:rPr>
            </w:pPr>
          </w:p>
        </w:tc>
        <w:tc>
          <w:tcPr>
            <w:tcW w:w="12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40" w:type="dxa"/>
            <w:vAlign w:val="bottom"/>
          </w:tcPr>
          <w:p>
            <w:pPr>
              <w:spacing w:after="0"/>
              <w:rPr>
                <w:sz w:val="19"/>
                <w:szCs w:val="19"/>
                <w:color w:val="auto"/>
              </w:rPr>
            </w:pPr>
          </w:p>
        </w:tc>
        <w:tc>
          <w:tcPr>
            <w:tcW w:w="1860" w:type="dxa"/>
            <w:vAlign w:val="bottom"/>
            <w:tcBorders>
              <w:bottom w:val="single" w:sz="8" w:color="auto"/>
            </w:tcBorders>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2026</w:t>
            </w:r>
          </w:p>
        </w:tc>
        <w:tc>
          <w:tcPr>
            <w:tcW w:w="9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9"/>
        </w:trPr>
        <w:tc>
          <w:tcPr>
            <w:tcW w:w="6760" w:type="dxa"/>
            <w:vAlign w:val="bottom"/>
          </w:tcPr>
          <w:p>
            <w:pPr>
              <w:spacing w:after="0"/>
              <w:rPr>
                <w:sz w:val="18"/>
                <w:szCs w:val="18"/>
                <w:color w:val="auto"/>
              </w:rPr>
            </w:pPr>
          </w:p>
        </w:tc>
        <w:tc>
          <w:tcPr>
            <w:tcW w:w="12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RMB</w:t>
            </w:r>
          </w:p>
        </w:tc>
        <w:tc>
          <w:tcPr>
            <w:tcW w:w="340" w:type="dxa"/>
            <w:vAlign w:val="bottom"/>
          </w:tcPr>
          <w:p>
            <w:pPr>
              <w:spacing w:after="0"/>
              <w:rPr>
                <w:sz w:val="18"/>
                <w:szCs w:val="18"/>
                <w:color w:val="auto"/>
              </w:rPr>
            </w:pPr>
          </w:p>
        </w:tc>
        <w:tc>
          <w:tcPr>
            <w:tcW w:w="1860" w:type="dxa"/>
            <w:vAlign w:val="bottom"/>
            <w:gridSpan w:val="3"/>
          </w:tcPr>
          <w:p>
            <w:pPr>
              <w:jc w:val="center"/>
              <w:ind w:right="640"/>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9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18"/>
                <w:szCs w:val="18"/>
                <w:color w:val="auto"/>
              </w:rPr>
            </w:pPr>
          </w:p>
        </w:tc>
      </w:tr>
      <w:tr>
        <w:trPr>
          <w:trHeight w:val="216"/>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6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(38,844,720)</w:t>
            </w:r>
          </w:p>
        </w:tc>
        <w:tc>
          <w:tcPr>
            <w:tcW w:w="15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(93,921,400)</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(13,615,745)</w:t>
            </w:r>
          </w:p>
        </w:tc>
      </w:tr>
      <w:tr>
        <w:trPr>
          <w:trHeight w:val="216"/>
        </w:trPr>
        <w:tc>
          <w:tcPr>
            <w:tcW w:w="6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w:t>
            </w: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Share-based compensation expenses</w:t>
            </w: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7,490,107</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5,912,951</w:t>
            </w:r>
          </w:p>
        </w:tc>
        <w:tc>
          <w:tcPr>
            <w:tcW w:w="3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857,198</w:t>
            </w:r>
          </w:p>
        </w:tc>
      </w:tr>
      <w:tr>
        <w:trPr>
          <w:trHeight w:val="232"/>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net loss</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(31,354,613)</w:t>
            </w:r>
          </w:p>
        </w:tc>
        <w:tc>
          <w:tcPr>
            <w:tcW w:w="340" w:type="dxa"/>
            <w:vAlign w:val="bottom"/>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(88,008,449)</w:t>
            </w:r>
          </w:p>
        </w:tc>
        <w:tc>
          <w:tcPr>
            <w:tcW w:w="3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(12,758,547)</w:t>
            </w:r>
          </w:p>
        </w:tc>
        <w:tc>
          <w:tcPr>
            <w:tcW w:w="100" w:type="dxa"/>
            <w:vAlign w:val="bottom"/>
          </w:tcPr>
          <w:p>
            <w:pPr>
              <w:spacing w:after="0"/>
              <w:rPr>
                <w:sz w:val="20"/>
                <w:szCs w:val="20"/>
                <w:color w:val="auto"/>
              </w:rPr>
            </w:pPr>
          </w:p>
        </w:tc>
      </w:tr>
      <w:tr>
        <w:trPr>
          <w:trHeight w:val="653"/>
        </w:trPr>
        <w:tc>
          <w:tcPr>
            <w:tcW w:w="67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lvl w:ilvl="1">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1"/>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2"/>
      <w:numFmt w:val="bullet"/>
      <w:start w:val="1"/>
    </w:lvl>
  </w:abstractNum>
  <w:abstractNum w:abstractNumId="6">
    <w:nsid w:val="515F007C"/>
    <w:multiLevelType w:val="hybridMultilevel"/>
    <w:lvl w:ilvl="0">
      <w:lvlJc w:val="left"/>
      <w:lvlText w:val="3"/>
      <w:numFmt w:val="bullet"/>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4"/>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2026-05-18T05:11:32Z</dcterms:created>
  <dcterms:modified xsi:type="dcterms:W3CDTF">2026-05-18T05:11:32Z</dcterms:modified>
</cp:coreProperties>
</file>