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-183515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4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7"/>
          <w:szCs w:val="27"/>
          <w:b w:val="1"/>
          <w:bCs w:val="1"/>
          <w:color w:val="auto"/>
        </w:rPr>
        <w:t>FORM 20-F</w:t>
      </w:r>
    </w:p>
    <w:p>
      <w:pPr>
        <w:spacing w:after="0" w:line="35"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86" w:lineRule="exact"/>
        <w:rPr>
          <w:sz w:val="24"/>
          <w:szCs w:val="24"/>
          <w:color w:val="auto"/>
        </w:rPr>
      </w:pPr>
    </w:p>
    <w:p>
      <w:pPr>
        <w:ind w:left="250" w:hanging="250"/>
        <w:spacing w:after="0"/>
        <w:tabs>
          <w:tab w:leader="none" w:pos="25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REGISTRATION STATEMENT PURSUANT TO SECTION 12(b) OR 12(g) OF THE SECURITIES EXCHANGE ACT OF 1934</w:t>
      </w:r>
    </w:p>
    <w:p>
      <w:pPr>
        <w:spacing w:after="0" w:line="115" w:lineRule="exact"/>
        <w:rPr>
          <w:sz w:val="24"/>
          <w:szCs w:val="24"/>
          <w:color w:val="auto"/>
        </w:rPr>
      </w:pPr>
    </w:p>
    <w:p>
      <w:pPr>
        <w:jc w:val="center"/>
        <w:ind w:right="-22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6" w:lineRule="exact"/>
        <w:rPr>
          <w:sz w:val="24"/>
          <w:szCs w:val="24"/>
          <w:color w:val="auto"/>
        </w:rPr>
      </w:pPr>
    </w:p>
    <w:p>
      <w:pPr>
        <w:ind w:left="250" w:right="1200" w:hanging="250"/>
        <w:spacing w:after="0" w:line="266" w:lineRule="auto"/>
        <w:tabs>
          <w:tab w:leader="none" w:pos="25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50" w:lineRule="exact"/>
        <w:rPr>
          <w:sz w:val="24"/>
          <w:szCs w:val="24"/>
          <w:color w:val="auto"/>
        </w:rPr>
      </w:pPr>
    </w:p>
    <w:p>
      <w:pPr>
        <w:jc w:val="center"/>
        <w:ind w:right="-22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250" w:hanging="250"/>
        <w:spacing w:after="0"/>
        <w:tabs>
          <w:tab w:leader="none" w:pos="250" w:val="left"/>
        </w:tabs>
        <w:numPr>
          <w:ilvl w:val="0"/>
          <w:numId w:val="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14" w:lineRule="exact"/>
        <w:rPr>
          <w:sz w:val="24"/>
          <w:szCs w:val="24"/>
          <w:color w:val="auto"/>
        </w:rPr>
      </w:pPr>
    </w:p>
    <w:p>
      <w:pPr>
        <w:jc w:val="center"/>
        <w:ind w:right="-22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250" w:hanging="250"/>
        <w:spacing w:after="0"/>
        <w:tabs>
          <w:tab w:leader="none" w:pos="250" w:val="left"/>
        </w:tabs>
        <w:numPr>
          <w:ilvl w:val="0"/>
          <w:numId w:val="4"/>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SHELL COMPANY REPORT PURSUANT TO SECTION 13 OR 15(d) OF THE SECURITIES EXCHANGE ACT OF 1934</w:t>
      </w:r>
    </w:p>
    <w:p>
      <w:pPr>
        <w:spacing w:after="0" w:line="10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Date of event requiring this shell company report</w:t>
      </w:r>
    </w:p>
    <w:p>
      <w:pPr>
        <w:sectPr>
          <w:pgSz w:w="11900" w:h="16838" w:orient="portrait"/>
          <w:cols w:equalWidth="0" w:num="1">
            <w:col w:w="10230"/>
          </w:cols>
          <w:pgMar w:left="830" w:top="661" w:right="839" w:bottom="1440" w:gutter="0" w:footer="0" w:header="0"/>
        </w:sectPr>
      </w:pPr>
    </w:p>
    <w:p>
      <w:pPr>
        <w:spacing w:after="0" w:line="73" w:lineRule="exact"/>
        <w:rPr>
          <w:sz w:val="24"/>
          <w:szCs w:val="24"/>
          <w:color w:val="auto"/>
        </w:rPr>
      </w:pPr>
    </w:p>
    <w:p>
      <w:pPr>
        <w:ind w:left="347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46" w:lineRule="exact"/>
        <w:rPr>
          <w:sz w:val="24"/>
          <w:szCs w:val="24"/>
          <w:color w:val="auto"/>
        </w:rPr>
      </w:pPr>
    </w:p>
    <w:p>
      <w:pPr>
        <w:ind w:left="3870"/>
        <w:spacing w:after="0"/>
        <w:rPr>
          <w:sz w:val="20"/>
          <w:szCs w:val="20"/>
          <w:color w:val="auto"/>
        </w:rPr>
      </w:pPr>
      <w:r>
        <w:rPr>
          <w:rFonts w:ascii="Times New Roman" w:cs="Times New Roman" w:eastAsia="Times New Roman" w:hAnsi="Times New Roman"/>
          <w:sz w:val="16"/>
          <w:szCs w:val="16"/>
          <w:b w:val="1"/>
          <w:bCs w:val="1"/>
          <w:color w:val="auto"/>
        </w:rPr>
        <w:t>Commission file number: 001-38696</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378" w:lineRule="exact"/>
        <w:rPr>
          <w:sz w:val="24"/>
          <w:szCs w:val="24"/>
          <w:color w:val="auto"/>
        </w:rPr>
      </w:pPr>
    </w:p>
    <w:p>
      <w:pPr>
        <w:sectPr>
          <w:pgSz w:w="11900" w:h="16838" w:orient="portrait"/>
          <w:cols w:equalWidth="0" w:num="2">
            <w:col w:w="6370" w:space="240"/>
            <w:col w:w="3620"/>
          </w:cols>
          <w:pgMar w:left="830" w:top="661" w:right="839" w:bottom="1440" w:gutter="0" w:footer="0" w:header="0"/>
          <w:type w:val="continuous"/>
        </w:sectPr>
      </w:pPr>
    </w:p>
    <w:p>
      <w:pPr>
        <w:jc w:val="center"/>
        <w:ind w:right="10"/>
        <w:spacing w:after="0"/>
        <w:rPr>
          <w:sz w:val="20"/>
          <w:szCs w:val="20"/>
          <w:color w:val="auto"/>
        </w:rPr>
      </w:pPr>
      <w:r>
        <w:rPr>
          <w:rFonts w:ascii="Times New Roman" w:cs="Times New Roman" w:eastAsia="Times New Roman" w:hAnsi="Times New Roman"/>
          <w:sz w:val="27"/>
          <w:szCs w:val="27"/>
          <w:b w:val="1"/>
          <w:bCs w:val="1"/>
          <w:color w:val="auto"/>
        </w:rPr>
        <w:t>Niu Technologies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21590</wp:posOffset>
            </wp:positionV>
            <wp:extent cx="64890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8" w:lineRule="exact"/>
        <w:rPr>
          <w:sz w:val="24"/>
          <w:szCs w:val="24"/>
          <w:color w:val="auto"/>
        </w:rPr>
      </w:pPr>
    </w:p>
    <w:p>
      <w:pPr>
        <w:ind w:left="341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83" w:lineRule="exact"/>
        <w:rPr>
          <w:sz w:val="24"/>
          <w:szCs w:val="24"/>
          <w:color w:val="auto"/>
        </w:rPr>
      </w:pPr>
    </w:p>
    <w:p>
      <w:pPr>
        <w:ind w:left="497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34" w:lineRule="exact"/>
        <w:rPr>
          <w:sz w:val="24"/>
          <w:szCs w:val="24"/>
          <w:color w:val="auto"/>
        </w:rPr>
      </w:pPr>
    </w:p>
    <w:p>
      <w:pPr>
        <w:ind w:left="3590"/>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64890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78" w:lineRule="exact"/>
        <w:rPr>
          <w:sz w:val="24"/>
          <w:szCs w:val="24"/>
          <w:color w:val="auto"/>
        </w:rPr>
      </w:pPr>
    </w:p>
    <w:p>
      <w:pPr>
        <w:ind w:left="4550"/>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34"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64890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6"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23/F,Building C, Rongxin Technology Center,</w:t>
      </w:r>
    </w:p>
    <w:p>
      <w:pPr>
        <w:spacing w:after="0" w:line="1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No. 34 Chuangyuan Road,</w:t>
      </w:r>
    </w:p>
    <w:p>
      <w:pPr>
        <w:spacing w:after="0" w:line="1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Chaoyang District, Beijing 100012</w:t>
      </w:r>
    </w:p>
    <w:p>
      <w:pPr>
        <w:spacing w:after="0" w:line="1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People’s Republic of China</w:t>
      </w:r>
    </w:p>
    <w:p>
      <w:pPr>
        <w:spacing w:after="0" w:line="24" w:lineRule="exact"/>
        <w:rPr>
          <w:sz w:val="24"/>
          <w:szCs w:val="24"/>
          <w:color w:val="auto"/>
        </w:rPr>
      </w:pPr>
    </w:p>
    <w:p>
      <w:pPr>
        <w:ind w:left="383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64890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51" w:lineRule="exact"/>
        <w:rPr>
          <w:sz w:val="24"/>
          <w:szCs w:val="24"/>
          <w:color w:val="auto"/>
        </w:rPr>
      </w:pPr>
    </w:p>
    <w:p>
      <w:pPr>
        <w:ind w:left="3570"/>
        <w:spacing w:after="0"/>
        <w:rPr>
          <w:sz w:val="20"/>
          <w:szCs w:val="20"/>
          <w:color w:val="auto"/>
        </w:rPr>
      </w:pPr>
      <w:r>
        <w:rPr>
          <w:rFonts w:ascii="Times New Roman" w:cs="Times New Roman" w:eastAsia="Times New Roman" w:hAnsi="Times New Roman"/>
          <w:sz w:val="16"/>
          <w:szCs w:val="16"/>
          <w:b w:val="1"/>
          <w:bCs w:val="1"/>
          <w:color w:val="auto"/>
        </w:rPr>
        <w:t>Fion Wenjuan Zhou, Chief Financial Officer</w:t>
      </w:r>
    </w:p>
    <w:p>
      <w:pPr>
        <w:spacing w:after="0" w:line="28"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Telephone: +8610-6432-1899</w:t>
      </w:r>
    </w:p>
    <w:p>
      <w:pPr>
        <w:spacing w:after="0" w:line="1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Email: ir@niu.com</w:t>
      </w:r>
    </w:p>
    <w:p>
      <w:pPr>
        <w:spacing w:after="0" w:line="1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23/F,Building C, Rongxin Technology Center,</w:t>
      </w:r>
    </w:p>
    <w:p>
      <w:pPr>
        <w:spacing w:after="0" w:line="1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No. 34 Chuangyuan Road,</w:t>
      </w:r>
    </w:p>
    <w:p>
      <w:pPr>
        <w:spacing w:after="0" w:line="1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Chaoyang District, Beijing 100012</w:t>
      </w:r>
    </w:p>
    <w:p>
      <w:pPr>
        <w:spacing w:after="0" w:line="1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People’s Republic of China</w:t>
      </w:r>
    </w:p>
    <w:p>
      <w:pPr>
        <w:spacing w:after="0" w:line="24" w:lineRule="exact"/>
        <w:rPr>
          <w:sz w:val="24"/>
          <w:szCs w:val="24"/>
          <w:color w:val="auto"/>
        </w:rPr>
      </w:pPr>
    </w:p>
    <w:p>
      <w:pPr>
        <w:ind w:left="2030"/>
        <w:spacing w:after="0"/>
        <w:rPr>
          <w:sz w:val="20"/>
          <w:szCs w:val="20"/>
          <w:color w:val="auto"/>
        </w:rPr>
      </w:pPr>
      <w:r>
        <w:rPr>
          <w:rFonts w:ascii="Times New Roman" w:cs="Times New Roman" w:eastAsia="Times New Roman" w:hAnsi="Times New Roman"/>
          <w:sz w:val="16"/>
          <w:szCs w:val="16"/>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64890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80"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12(b) of the Act:</w:t>
      </w:r>
    </w:p>
    <w:p>
      <w:pPr>
        <w:spacing w:after="0" w:line="79" w:lineRule="exact"/>
        <w:rPr>
          <w:sz w:val="24"/>
          <w:szCs w:val="24"/>
          <w:color w:val="auto"/>
        </w:rPr>
      </w:pPr>
    </w:p>
    <w:tbl>
      <w:tblPr>
        <w:tblLayout w:type="fixed"/>
        <w:tblInd w:w="10" w:type="dxa"/>
        <w:tblCellMar>
          <w:top w:w="0" w:type="dxa"/>
          <w:left w:w="0" w:type="dxa"/>
          <w:bottom w:w="0" w:type="dxa"/>
          <w:right w:w="0" w:type="dxa"/>
        </w:tblCellMar>
      </w:tblPr>
      <w:tr>
        <w:trPr>
          <w:trHeight w:val="149"/>
        </w:trPr>
        <w:tc>
          <w:tcPr>
            <w:tcW w:w="3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 on which</w:t>
            </w:r>
          </w:p>
        </w:tc>
      </w:tr>
      <w:tr>
        <w:trPr>
          <w:trHeight w:val="167"/>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Trading Symbol (s)</w:t>
            </w:r>
          </w:p>
        </w:tc>
        <w:tc>
          <w:tcPr>
            <w:tcW w:w="2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registered</w:t>
            </w:r>
          </w:p>
        </w:tc>
      </w:tr>
      <w:tr>
        <w:trPr>
          <w:trHeight w:val="110"/>
        </w:trPr>
        <w:tc>
          <w:tcPr>
            <w:tcW w:w="328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American depositary shares (one American depositary</w:t>
            </w:r>
          </w:p>
        </w:tc>
        <w:tc>
          <w:tcPr>
            <w:tcW w:w="200" w:type="dxa"/>
            <w:vAlign w:val="bottom"/>
          </w:tcPr>
          <w:p>
            <w:pPr>
              <w:spacing w:after="0"/>
              <w:rPr>
                <w:sz w:val="9"/>
                <w:szCs w:val="9"/>
                <w:color w:val="auto"/>
              </w:rPr>
            </w:pPr>
          </w:p>
        </w:tc>
        <w:tc>
          <w:tcPr>
            <w:tcW w:w="470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w w:val="99"/>
              </w:rPr>
              <w:t>NIU</w:t>
            </w:r>
          </w:p>
        </w:tc>
        <w:tc>
          <w:tcPr>
            <w:tcW w:w="200" w:type="dxa"/>
            <w:vAlign w:val="bottom"/>
          </w:tcPr>
          <w:p>
            <w:pPr>
              <w:spacing w:after="0"/>
              <w:rPr>
                <w:sz w:val="9"/>
                <w:szCs w:val="9"/>
                <w:color w:val="auto"/>
              </w:rPr>
            </w:pPr>
          </w:p>
        </w:tc>
        <w:tc>
          <w:tcPr>
            <w:tcW w:w="184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The Nasdaq Stock Market LLC</w:t>
            </w:r>
          </w:p>
        </w:tc>
      </w:tr>
      <w:tr>
        <w:trPr>
          <w:trHeight w:val="135"/>
        </w:trPr>
        <w:tc>
          <w:tcPr>
            <w:tcW w:w="32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 representing two Class A ordinary shares, par</w:t>
            </w:r>
          </w:p>
        </w:tc>
        <w:tc>
          <w:tcPr>
            <w:tcW w:w="20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(The Nasdaq Global Market)</w:t>
            </w:r>
          </w:p>
        </w:tc>
      </w:tr>
      <w:tr>
        <w:trPr>
          <w:trHeight w:val="166"/>
        </w:trPr>
        <w:tc>
          <w:tcPr>
            <w:tcW w:w="3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value US$0.0001 per share)</w:t>
            </w:r>
          </w:p>
        </w:tc>
        <w:tc>
          <w:tcPr>
            <w:tcW w:w="2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8"/>
        </w:trPr>
        <w:tc>
          <w:tcPr>
            <w:tcW w:w="3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Class A ordinary shares, par value US$0.0001 per</w:t>
            </w:r>
          </w:p>
        </w:tc>
        <w:tc>
          <w:tcPr>
            <w:tcW w:w="20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The Nasdaq Stock Market LLC</w:t>
            </w:r>
          </w:p>
        </w:tc>
      </w:tr>
      <w:tr>
        <w:trPr>
          <w:trHeight w:val="173"/>
        </w:trPr>
        <w:tc>
          <w:tcPr>
            <w:tcW w:w="3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share*</w:t>
            </w:r>
          </w:p>
        </w:tc>
        <w:tc>
          <w:tcPr>
            <w:tcW w:w="20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95885</wp:posOffset>
            </wp:positionV>
            <wp:extent cx="162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25" w:lineRule="exact"/>
        <w:rPr>
          <w:sz w:val="24"/>
          <w:szCs w:val="24"/>
          <w:color w:val="auto"/>
        </w:rPr>
      </w:pPr>
    </w:p>
    <w:p>
      <w:pPr>
        <w:ind w:left="10" w:right="2440" w:hanging="10"/>
        <w:spacing w:after="0" w:line="350" w:lineRule="auto"/>
        <w:tabs>
          <w:tab w:leader="none" w:pos="21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for trading, but only in connection with the listing on The Nasdaq Global Market of American depositary shares. Securities registered or to be registered pursuant to Section 12(g) of the Act:</w:t>
      </w:r>
    </w:p>
    <w:p>
      <w:pPr>
        <w:spacing w:after="0" w:line="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4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774700</wp:posOffset>
            </wp:positionV>
            <wp:extent cx="64979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-116205</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type w:val="continuous"/>
        </w:sectPr>
      </w:pPr>
    </w:p>
    <w:bookmarkStart w:id="1" w:name="page2"/>
    <w:bookmarkEnd w:id="1"/>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Securities for which there is a reporting obligation pursuant to Section 15(d) of the Act:</w:t>
      </w:r>
    </w:p>
    <w:p>
      <w:pPr>
        <w:spacing w:after="0" w:line="8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6497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80" w:lineRule="exact"/>
        <w:rPr>
          <w:sz w:val="20"/>
          <w:szCs w:val="20"/>
          <w:color w:val="auto"/>
        </w:rPr>
      </w:pPr>
    </w:p>
    <w:p>
      <w:pPr>
        <w:jc w:val="both"/>
        <w:ind w:left="10" w:right="20"/>
        <w:spacing w:after="0" w:line="269" w:lineRule="auto"/>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w:t>
      </w:r>
    </w:p>
    <w:p>
      <w:pPr>
        <w:spacing w:after="0" w:line="29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141,231,394 Class A ordinary shares and 15,222,020 Class B ordinary shares, par value US$0.0001 per share, as of December 31, 2025.</w:t>
      </w:r>
    </w:p>
    <w:p>
      <w:pPr>
        <w:spacing w:after="0" w:line="11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50" w:lineRule="exact"/>
        <w:rPr>
          <w:sz w:val="20"/>
          <w:szCs w:val="20"/>
          <w:color w:val="auto"/>
        </w:rPr>
      </w:pPr>
    </w:p>
    <w:p>
      <w:pPr>
        <w:ind w:left="929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2" w:lineRule="exact"/>
        <w:rPr>
          <w:sz w:val="20"/>
          <w:szCs w:val="20"/>
          <w:color w:val="auto"/>
        </w:rPr>
      </w:pPr>
    </w:p>
    <w:p>
      <w:pPr>
        <w:jc w:val="both"/>
        <w:ind w:left="10"/>
        <w:spacing w:after="0" w:line="293" w:lineRule="auto"/>
        <w:rPr>
          <w:sz w:val="20"/>
          <w:szCs w:val="20"/>
          <w:color w:val="auto"/>
        </w:rPr>
      </w:pPr>
      <w:r>
        <w:rPr>
          <w:rFonts w:ascii="Times New Roman" w:cs="Times New Roman" w:eastAsia="Times New Roman" w:hAnsi="Times New Roman"/>
          <w:sz w:val="16"/>
          <w:szCs w:val="16"/>
          <w:color w:val="auto"/>
        </w:rPr>
        <w:t>If this report is an annual or transition report, indicate by check mark if the registrant is not required to file reports pursuant to Section 13 or 15(d) of the Securities Exchange Act of 1934.</w:t>
      </w:r>
    </w:p>
    <w:p>
      <w:pPr>
        <w:spacing w:after="0" w:line="1" w:lineRule="exact"/>
        <w:rPr>
          <w:sz w:val="20"/>
          <w:szCs w:val="20"/>
          <w:color w:val="auto"/>
        </w:rPr>
      </w:pPr>
    </w:p>
    <w:p>
      <w:pPr>
        <w:ind w:left="933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2" w:lineRule="exact"/>
        <w:rPr>
          <w:sz w:val="20"/>
          <w:szCs w:val="20"/>
          <w:color w:val="auto"/>
        </w:rPr>
      </w:pPr>
    </w:p>
    <w:p>
      <w:pPr>
        <w:jc w:val="both"/>
        <w:ind w:left="10" w:right="20"/>
        <w:spacing w:after="0" w:line="298" w:lineRule="auto"/>
        <w:rPr>
          <w:sz w:val="20"/>
          <w:szCs w:val="20"/>
          <w:color w:val="auto"/>
        </w:rPr>
      </w:pPr>
      <w:r>
        <w:rPr>
          <w:rFonts w:ascii="Times New Roman" w:cs="Times New Roman" w:eastAsia="Times New Roman" w:hAnsi="Times New Roman"/>
          <w:sz w:val="16"/>
          <w:szCs w:val="16"/>
          <w:color w:val="auto"/>
        </w:rPr>
        <w:t>Note - Checking the box above will not relieve any registrant required to file reports pursuant to Section 13 or 15(d) of the Securities Exchange Act of 1934 from their obligations under those Sections.</w:t>
      </w:r>
    </w:p>
    <w:p>
      <w:pPr>
        <w:spacing w:after="0" w:line="43" w:lineRule="exact"/>
        <w:rPr>
          <w:sz w:val="20"/>
          <w:szCs w:val="20"/>
          <w:color w:val="auto"/>
        </w:rPr>
      </w:pPr>
    </w:p>
    <w:p>
      <w:pPr>
        <w:jc w:val="both"/>
        <w:ind w:left="1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0"/>
          <w:szCs w:val="20"/>
          <w:color w:val="auto"/>
        </w:rPr>
      </w:pPr>
    </w:p>
    <w:p>
      <w:pPr>
        <w:ind w:left="933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2" w:lineRule="exact"/>
        <w:rPr>
          <w:sz w:val="20"/>
          <w:szCs w:val="20"/>
          <w:color w:val="auto"/>
        </w:rPr>
      </w:pPr>
    </w:p>
    <w:p>
      <w:pPr>
        <w:jc w:val="both"/>
        <w:ind w:left="10"/>
        <w:spacing w:after="0" w:line="293"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(P32.405 of this chapter) during the preceding 12 months (or for such shorter period that the registrant was required to submit such files).</w:t>
      </w:r>
    </w:p>
    <w:p>
      <w:pPr>
        <w:spacing w:after="0" w:line="1" w:lineRule="exact"/>
        <w:rPr>
          <w:sz w:val="20"/>
          <w:szCs w:val="20"/>
          <w:color w:val="auto"/>
        </w:rPr>
      </w:pPr>
    </w:p>
    <w:p>
      <w:pPr>
        <w:ind w:left="933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2" w:lineRule="exact"/>
        <w:rPr>
          <w:sz w:val="20"/>
          <w:szCs w:val="20"/>
          <w:color w:val="auto"/>
        </w:rPr>
      </w:pPr>
    </w:p>
    <w:p>
      <w:pPr>
        <w:jc w:val="both"/>
        <w:ind w:left="10"/>
        <w:spacing w:after="0" w:line="29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1" w:lineRule="exact"/>
        <w:rPr>
          <w:sz w:val="20"/>
          <w:szCs w:val="20"/>
          <w:color w:val="auto"/>
        </w:rPr>
      </w:pPr>
    </w:p>
    <w:p>
      <w:pPr>
        <w:ind w:left="450"/>
        <w:spacing w:after="0" w:line="184" w:lineRule="exact"/>
        <w:tabs>
          <w:tab w:leader="none" w:pos="3170" w:val="left"/>
          <w:tab w:leader="none" w:pos="5590" w:val="left"/>
          <w:tab w:leader="none" w:pos="795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36" w:lineRule="exact"/>
        <w:rPr>
          <w:sz w:val="20"/>
          <w:szCs w:val="20"/>
          <w:color w:val="auto"/>
        </w:rPr>
      </w:pPr>
    </w:p>
    <w:p>
      <w:pPr>
        <w:jc w:val="both"/>
        <w:ind w:left="10"/>
        <w:spacing w:after="0" w:line="214" w:lineRule="exact"/>
        <w:rPr>
          <w:sz w:val="20"/>
          <w:szCs w:val="20"/>
          <w:color w:val="auto"/>
        </w:rPr>
      </w:pPr>
      <w:r>
        <w:rPr>
          <w:rFonts w:ascii="Times New Roman" w:cs="Times New Roman" w:eastAsia="Times New Roman" w:hAnsi="Times New Roman"/>
          <w:sz w:val="14"/>
          <w:szCs w:val="14"/>
          <w:color w:val="auto"/>
        </w:rPr>
        <w:t xml:space="preserve">If </w:t>
      </w:r>
      <w:r>
        <w:rPr>
          <w:rFonts w:ascii="Times New Roman" w:cs="Times New Roman" w:eastAsia="Times New Roman" w:hAnsi="Times New Roman"/>
          <w:sz w:val="16"/>
          <w:szCs w:val="16"/>
          <w:color w:val="auto"/>
        </w:rPr>
        <w:t>an emerging growth company that prepares its financial statements in accordance with U.S. GAAP, indicate by check mark if the registrant has elected not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6"/>
          <w:szCs w:val="16"/>
          <w:color w:val="auto"/>
        </w:rPr>
        <w:t xml:space="preserve">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3" w:lineRule="exact"/>
        <w:rPr>
          <w:sz w:val="20"/>
          <w:szCs w:val="20"/>
          <w:color w:val="auto"/>
        </w:rPr>
      </w:pPr>
    </w:p>
    <w:p>
      <w:pPr>
        <w:ind w:left="10" w:hanging="10"/>
        <w:spacing w:after="0" w:line="298" w:lineRule="auto"/>
        <w:tabs>
          <w:tab w:leader="none" w:pos="105"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Th</w:t>
      </w:r>
      <w:r>
        <w:rPr>
          <w:rFonts w:ascii="Times New Roman" w:cs="Times New Roman" w:eastAsia="Times New Roman" w:hAnsi="Times New Roman"/>
          <w:sz w:val="16"/>
          <w:szCs w:val="16"/>
          <w:color w:val="auto"/>
        </w:rPr>
        <w:t>e term “new or revised financial accounting standard” refers to any update issued by the Financial Accounting Standards Board to its Accounting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6"/>
          <w:szCs w:val="16"/>
          <w:color w:val="auto"/>
        </w:rPr>
        <w:t>Standards Codification after April 5, 2012.</w:t>
      </w:r>
    </w:p>
    <w:p>
      <w:pPr>
        <w:spacing w:after="0" w:line="43" w:lineRule="exact"/>
        <w:rPr>
          <w:sz w:val="20"/>
          <w:szCs w:val="20"/>
          <w:color w:val="auto"/>
        </w:rPr>
      </w:pPr>
    </w:p>
    <w:p>
      <w:pPr>
        <w:jc w:val="both"/>
        <w:ind w:left="10" w:right="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7262(b))by the registered public accounting firm that prepared or issued its audit report.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white"/>
        </w:rPr>
        <w:t>☐</w:t>
      </w:r>
    </w:p>
    <w:p>
      <w:pPr>
        <w:spacing w:after="0" w:line="63" w:lineRule="exact"/>
        <w:rPr>
          <w:sz w:val="20"/>
          <w:szCs w:val="20"/>
          <w:color w:val="auto"/>
        </w:rPr>
      </w:pPr>
    </w:p>
    <w:p>
      <w:pPr>
        <w:jc w:val="both"/>
        <w:ind w:left="10" w:right="2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61" w:lineRule="exact"/>
        <w:rPr>
          <w:sz w:val="20"/>
          <w:szCs w:val="20"/>
          <w:color w:val="auto"/>
        </w:rPr>
      </w:pPr>
    </w:p>
    <w:p>
      <w:pPr>
        <w:jc w:val="both"/>
        <w:ind w:left="1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6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ectPr>
          <w:pgSz w:w="11900" w:h="16838" w:orient="portrait"/>
          <w:cols w:equalWidth="0" w:num="1">
            <w:col w:w="10230"/>
          </w:cols>
          <w:pgMar w:left="830" w:top="513" w:right="839" w:bottom="1440" w:gutter="0" w:footer="0" w:header="0"/>
        </w:sectPr>
      </w:pPr>
    </w:p>
    <w:p>
      <w:pPr>
        <w:spacing w:after="0" w:line="77" w:lineRule="exact"/>
        <w:rPr>
          <w:sz w:val="20"/>
          <w:szCs w:val="20"/>
          <w:color w:val="auto"/>
        </w:rPr>
      </w:pPr>
    </w:p>
    <w:p>
      <w:pPr>
        <w:ind w:left="670"/>
        <w:spacing w:after="0" w:line="173" w:lineRule="exact"/>
        <w:rPr>
          <w:sz w:val="20"/>
          <w:szCs w:val="20"/>
          <w:color w:val="auto"/>
        </w:rPr>
      </w:pPr>
      <w:r>
        <w:rPr>
          <w:rFonts w:ascii="Times New Roman" w:cs="Times New Roman" w:eastAsia="Times New Roman" w:hAnsi="Times New Roman"/>
          <w:sz w:val="15"/>
          <w:szCs w:val="15"/>
          <w:color w:val="auto"/>
        </w:rPr>
        <w:t xml:space="preserve">U.S. GAAP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International Financial Reporting Standards as issued</w:t>
      </w:r>
    </w:p>
    <w:p>
      <w:pPr>
        <w:spacing w:after="0" w:line="26" w:lineRule="exact"/>
        <w:rPr>
          <w:sz w:val="20"/>
          <w:szCs w:val="20"/>
          <w:color w:val="auto"/>
        </w:rPr>
      </w:pPr>
    </w:p>
    <w:p>
      <w:pPr>
        <w:ind w:left="40"/>
        <w:spacing w:after="0" w:line="184" w:lineRule="exact"/>
        <w:rPr>
          <w:sz w:val="20"/>
          <w:szCs w:val="20"/>
          <w:color w:val="auto"/>
        </w:rPr>
      </w:pPr>
      <w:r>
        <w:rPr>
          <w:rFonts w:ascii="Times New Roman" w:cs="Times New Roman" w:eastAsia="Times New Roman" w:hAnsi="Times New Roman"/>
          <w:sz w:val="16"/>
          <w:szCs w:val="16"/>
          <w:color w:val="auto"/>
        </w:rPr>
        <w:t xml:space="preserve">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Other </w:t>
      </w:r>
      <w:r>
        <w:rPr>
          <w:rFonts w:ascii="MS PGothic" w:cs="MS PGothic" w:eastAsia="MS PGothic" w:hAnsi="MS PGothic"/>
          <w:sz w:val="15"/>
          <w:szCs w:val="15"/>
          <w:color w:val="auto"/>
        </w:rPr>
        <w:t>☐</w:t>
      </w:r>
    </w:p>
    <w:p>
      <w:pPr>
        <w:spacing w:after="0" w:line="349" w:lineRule="exact"/>
        <w:rPr>
          <w:sz w:val="20"/>
          <w:szCs w:val="20"/>
          <w:color w:val="auto"/>
        </w:rPr>
      </w:pPr>
    </w:p>
    <w:p>
      <w:pPr>
        <w:sectPr>
          <w:pgSz w:w="11900" w:h="16838" w:orient="portrait"/>
          <w:cols w:equalWidth="0" w:num="3">
            <w:col w:w="2710" w:space="720"/>
            <w:col w:w="4680" w:space="720"/>
            <w:col w:w="1400"/>
          </w:cols>
          <w:pgMar w:left="830" w:top="513" w:right="839" w:bottom="1440" w:gutter="0" w:footer="0" w:header="0"/>
          <w:type w:val="continuous"/>
        </w:sectPr>
      </w:pPr>
    </w:p>
    <w:p>
      <w:pPr>
        <w:ind w:left="8810" w:hanging="8810"/>
        <w:spacing w:after="0" w:line="260" w:lineRule="exact"/>
        <w:rPr>
          <w:sz w:val="20"/>
          <w:szCs w:val="20"/>
          <w:color w:val="auto"/>
        </w:rPr>
      </w:pPr>
      <w:r>
        <w:rPr>
          <w:rFonts w:ascii="Times New Roman" w:cs="Times New Roman" w:eastAsia="Times New Roman" w:hAnsi="Times New Roman"/>
          <w:sz w:val="16"/>
          <w:szCs w:val="16"/>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17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18</w:t>
      </w:r>
    </w:p>
    <w:p>
      <w:pPr>
        <w:spacing w:after="0" w:line="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If this is an annual report, indicate by check mark whether the registrant is a shell company (as defined in Rule 12b-2 of the Exchange Act).</w:t>
      </w:r>
    </w:p>
    <w:p>
      <w:pPr>
        <w:spacing w:after="0" w:line="50" w:lineRule="exact"/>
        <w:rPr>
          <w:sz w:val="20"/>
          <w:szCs w:val="20"/>
          <w:color w:val="auto"/>
        </w:rPr>
      </w:pPr>
    </w:p>
    <w:p>
      <w:pPr>
        <w:ind w:left="933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(APPLICABLE ONLY TO ISSUERS INVOLVED IN BANKRUPTCY PROCEEDINGS DURING THE PAST FIVE YEARS)</w:t>
      </w:r>
    </w:p>
    <w:p>
      <w:pPr>
        <w:spacing w:after="0" w:line="203" w:lineRule="exact"/>
        <w:rPr>
          <w:sz w:val="20"/>
          <w:szCs w:val="20"/>
          <w:color w:val="auto"/>
        </w:rPr>
      </w:pPr>
    </w:p>
    <w:p>
      <w:pPr>
        <w:ind w:left="1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ind w:left="937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906145</wp:posOffset>
            </wp:positionV>
            <wp:extent cx="649795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74295</wp:posOffset>
            </wp:positionV>
            <wp:extent cx="64979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117475</wp:posOffset>
            </wp:positionV>
            <wp:extent cx="649795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513" w:right="8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777"/>
        </w:trPr>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40" w:type="dxa"/>
            <w:vAlign w:val="bottom"/>
            <w:gridSpan w:val="15"/>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20" w:type="dxa"/>
            <w:vAlign w:val="bottom"/>
          </w:tcPr>
          <w:p>
            <w:pPr>
              <w:spacing w:after="0"/>
              <w:rPr>
                <w:sz w:val="24"/>
                <w:szCs w:val="24"/>
                <w:color w:val="auto"/>
              </w:rPr>
            </w:pPr>
          </w:p>
        </w:tc>
      </w:tr>
      <w:tr>
        <w:trPr>
          <w:trHeight w:val="432"/>
        </w:trPr>
        <w:tc>
          <w:tcPr>
            <w:tcW w:w="13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8"/>
              </w:rPr>
              <w:t>INTRODUCTION</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84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FORWARD-LOOKING INFORMATION</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36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Part I</w:t>
            </w:r>
          </w:p>
        </w:tc>
        <w:tc>
          <w:tcPr>
            <w:tcW w:w="2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4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4"/>
              </w:rPr>
              <w:t>Item 1.</w:t>
            </w:r>
          </w:p>
        </w:tc>
        <w:tc>
          <w:tcPr>
            <w:tcW w:w="320" w:type="dxa"/>
            <w:vAlign w:val="bottom"/>
            <w:gridSpan w:val="10"/>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Item 2.</w:t>
            </w:r>
          </w:p>
        </w:tc>
        <w:tc>
          <w:tcPr>
            <w:tcW w:w="320" w:type="dxa"/>
            <w:vAlign w:val="bottom"/>
            <w:gridSpan w:val="10"/>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Offer Statistics and Expected Timetable</w:t>
            </w:r>
          </w:p>
        </w:tc>
        <w:tc>
          <w:tcPr>
            <w:tcW w:w="1120" w:type="dxa"/>
            <w:vAlign w:val="bottom"/>
            <w:tcBorders>
              <w:top w:val="single" w:sz="8" w:color="0000EE"/>
            </w:tcBorders>
            <w:gridSpan w:val="6"/>
          </w:tcPr>
          <w:p>
            <w:pPr>
              <w:spacing w:after="0"/>
              <w:rPr>
                <w:sz w:val="17"/>
                <w:szCs w:val="17"/>
                <w:color w:val="auto"/>
              </w:rPr>
            </w:pPr>
          </w:p>
        </w:tc>
        <w:tc>
          <w:tcPr>
            <w:tcW w:w="2840" w:type="dxa"/>
            <w:vAlign w:val="bottom"/>
            <w:gridSpan w:val="6"/>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4"/>
              </w:rPr>
              <w:t>Item 3.</w:t>
            </w:r>
          </w:p>
        </w:tc>
        <w:tc>
          <w:tcPr>
            <w:tcW w:w="320" w:type="dxa"/>
            <w:vAlign w:val="bottom"/>
            <w:gridSpan w:val="10"/>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Key Information</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Item 4.</w:t>
            </w:r>
          </w:p>
        </w:tc>
        <w:tc>
          <w:tcPr>
            <w:tcW w:w="320" w:type="dxa"/>
            <w:vAlign w:val="bottom"/>
            <w:gridSpan w:val="10"/>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Information on the Company</w:t>
            </w:r>
          </w:p>
        </w:tc>
        <w:tc>
          <w:tcPr>
            <w:tcW w:w="4740" w:type="dxa"/>
            <w:vAlign w:val="bottom"/>
            <w:gridSpan w:val="15"/>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Item 5.</w:t>
            </w:r>
          </w:p>
        </w:tc>
        <w:tc>
          <w:tcPr>
            <w:tcW w:w="320" w:type="dxa"/>
            <w:vAlign w:val="bottom"/>
            <w:gridSpan w:val="10"/>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Operating and Financial Review and Prospects</w:t>
            </w:r>
          </w:p>
        </w:tc>
        <w:tc>
          <w:tcPr>
            <w:tcW w:w="3460" w:type="dxa"/>
            <w:vAlign w:val="bottom"/>
            <w:gridSpan w:val="10"/>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4"/>
              </w:rPr>
              <w:t>Item 6.</w:t>
            </w:r>
          </w:p>
        </w:tc>
        <w:tc>
          <w:tcPr>
            <w:tcW w:w="320" w:type="dxa"/>
            <w:vAlign w:val="bottom"/>
            <w:gridSpan w:val="10"/>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4"/>
              </w:rPr>
              <w:t>Item 7.</w:t>
            </w:r>
          </w:p>
        </w:tc>
        <w:tc>
          <w:tcPr>
            <w:tcW w:w="320" w:type="dxa"/>
            <w:vAlign w:val="bottom"/>
            <w:gridSpan w:val="10"/>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Item 8.</w:t>
            </w:r>
          </w:p>
        </w:tc>
        <w:tc>
          <w:tcPr>
            <w:tcW w:w="320" w:type="dxa"/>
            <w:vAlign w:val="bottom"/>
            <w:gridSpan w:val="10"/>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Financial Information</w:t>
            </w:r>
          </w:p>
        </w:tc>
        <w:tc>
          <w:tcPr>
            <w:tcW w:w="2100" w:type="dxa"/>
            <w:vAlign w:val="bottom"/>
            <w:tcBorders>
              <w:top w:val="single" w:sz="8" w:color="0000EE"/>
            </w:tcBorders>
            <w:gridSpan w:val="12"/>
          </w:tcPr>
          <w:p>
            <w:pPr>
              <w:spacing w:after="0"/>
              <w:rPr>
                <w:sz w:val="17"/>
                <w:szCs w:val="17"/>
                <w:color w:val="auto"/>
              </w:rPr>
            </w:pPr>
          </w:p>
        </w:tc>
        <w:tc>
          <w:tcPr>
            <w:tcW w:w="3140" w:type="dxa"/>
            <w:vAlign w:val="bottom"/>
            <w:gridSpan w:val="8"/>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Item 9.</w:t>
            </w:r>
          </w:p>
        </w:tc>
        <w:tc>
          <w:tcPr>
            <w:tcW w:w="320" w:type="dxa"/>
            <w:vAlign w:val="bottom"/>
            <w:gridSpan w:val="10"/>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The Offer and Listing</w:t>
            </w:r>
          </w:p>
        </w:tc>
        <w:tc>
          <w:tcPr>
            <w:tcW w:w="5260" w:type="dxa"/>
            <w:vAlign w:val="bottom"/>
            <w:gridSpan w:val="21"/>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Item 10.</w:t>
            </w:r>
          </w:p>
        </w:tc>
        <w:tc>
          <w:tcPr>
            <w:tcW w:w="200" w:type="dxa"/>
            <w:vAlign w:val="bottom"/>
          </w:tcPr>
          <w:p>
            <w:pPr>
              <w:spacing w:after="0"/>
              <w:rPr>
                <w:sz w:val="17"/>
                <w:szCs w:val="17"/>
                <w:color w:val="auto"/>
              </w:rPr>
            </w:pPr>
          </w:p>
        </w:tc>
        <w:tc>
          <w:tcPr>
            <w:tcW w:w="68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Additional Information</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200" w:type="dxa"/>
            <w:vAlign w:val="bottom"/>
          </w:tcPr>
          <w:p>
            <w:pPr>
              <w:spacing w:after="0"/>
              <w:rPr>
                <w:sz w:val="17"/>
                <w:szCs w:val="17"/>
                <w:color w:val="auto"/>
              </w:rPr>
            </w:pPr>
          </w:p>
        </w:tc>
        <w:tc>
          <w:tcPr>
            <w:tcW w:w="68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200" w:type="dxa"/>
            <w:vAlign w:val="bottom"/>
          </w:tcPr>
          <w:p>
            <w:pPr>
              <w:spacing w:after="0"/>
              <w:rPr>
                <w:sz w:val="17"/>
                <w:szCs w:val="17"/>
                <w:color w:val="auto"/>
              </w:rPr>
            </w:pPr>
          </w:p>
        </w:tc>
        <w:tc>
          <w:tcPr>
            <w:tcW w:w="68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r>
      <w:tr>
        <w:trPr>
          <w:trHeight w:val="196"/>
        </w:trPr>
        <w:tc>
          <w:tcPr>
            <w:tcW w:w="5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Part II</w:t>
            </w:r>
          </w:p>
        </w:tc>
        <w:tc>
          <w:tcPr>
            <w:tcW w:w="600" w:type="dxa"/>
            <w:vAlign w:val="bottom"/>
            <w:tcBorders>
              <w:top w:val="single" w:sz="8" w:color="0000EE"/>
            </w:tcBorders>
            <w:gridSpan w:val="2"/>
          </w:tcPr>
          <w:p>
            <w:pPr>
              <w:spacing w:after="0"/>
              <w:rPr>
                <w:sz w:val="17"/>
                <w:szCs w:val="17"/>
                <w:color w:val="auto"/>
              </w:rPr>
            </w:pPr>
          </w:p>
        </w:tc>
        <w:tc>
          <w:tcPr>
            <w:tcW w:w="240" w:type="dxa"/>
            <w:vAlign w:val="bottom"/>
            <w:gridSpan w:val="9"/>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r>
      <w:tr>
        <w:trPr>
          <w:trHeight w:val="196"/>
        </w:trPr>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13.</w:t>
            </w:r>
          </w:p>
        </w:tc>
        <w:tc>
          <w:tcPr>
            <w:tcW w:w="220" w:type="dxa"/>
            <w:vAlign w:val="bottom"/>
            <w:gridSpan w:val="8"/>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14.</w:t>
            </w:r>
          </w:p>
        </w:tc>
        <w:tc>
          <w:tcPr>
            <w:tcW w:w="220" w:type="dxa"/>
            <w:vAlign w:val="bottom"/>
            <w:gridSpan w:val="8"/>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15.</w:t>
            </w:r>
          </w:p>
        </w:tc>
        <w:tc>
          <w:tcPr>
            <w:tcW w:w="220" w:type="dxa"/>
            <w:vAlign w:val="bottom"/>
            <w:gridSpan w:val="8"/>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3820" w:type="dxa"/>
            <w:vAlign w:val="bottom"/>
            <w:tcBorders>
              <w:top w:val="single" w:sz="8" w:color="0000EE"/>
            </w:tcBorders>
            <w:gridSpan w:val="15"/>
          </w:tcPr>
          <w:p>
            <w:pPr>
              <w:spacing w:after="0"/>
              <w:rPr>
                <w:sz w:val="17"/>
                <w:szCs w:val="17"/>
                <w:color w:val="auto"/>
              </w:rPr>
            </w:pPr>
          </w:p>
        </w:tc>
        <w:tc>
          <w:tcPr>
            <w:tcW w:w="124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w:t>
            </w:r>
          </w:p>
        </w:tc>
        <w:tc>
          <w:tcPr>
            <w:tcW w:w="220" w:type="dxa"/>
            <w:vAlign w:val="bottom"/>
            <w:gridSpan w:val="8"/>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[Reserved]</w:t>
            </w:r>
          </w:p>
        </w:tc>
        <w:tc>
          <w:tcPr>
            <w:tcW w:w="6040" w:type="dxa"/>
            <w:vAlign w:val="bottom"/>
            <w:gridSpan w:val="27"/>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16A.</w:t>
            </w:r>
          </w:p>
        </w:tc>
        <w:tc>
          <w:tcPr>
            <w:tcW w:w="10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25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Audit Committee Financial Expert</w:t>
            </w:r>
          </w:p>
        </w:tc>
        <w:tc>
          <w:tcPr>
            <w:tcW w:w="4340" w:type="dxa"/>
            <w:vAlign w:val="bottom"/>
            <w:gridSpan w:val="14"/>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16B.</w:t>
            </w:r>
          </w:p>
        </w:tc>
        <w:tc>
          <w:tcPr>
            <w:tcW w:w="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Code of Ethics</w:t>
            </w:r>
          </w:p>
        </w:tc>
        <w:tc>
          <w:tcPr>
            <w:tcW w:w="5760" w:type="dxa"/>
            <w:vAlign w:val="bottom"/>
            <w:gridSpan w:val="25"/>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16C.</w:t>
            </w:r>
          </w:p>
        </w:tc>
        <w:tc>
          <w:tcPr>
            <w:tcW w:w="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Principal Accountant Fees and Services</w:t>
            </w:r>
          </w:p>
        </w:tc>
        <w:tc>
          <w:tcPr>
            <w:tcW w:w="3980" w:type="dxa"/>
            <w:vAlign w:val="bottom"/>
            <w:gridSpan w:val="13"/>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16D.</w:t>
            </w:r>
          </w:p>
        </w:tc>
        <w:tc>
          <w:tcPr>
            <w:tcW w:w="10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446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Exemptions from the Listing Standards for Audit Committees</w:t>
            </w:r>
          </w:p>
        </w:tc>
        <w:tc>
          <w:tcPr>
            <w:tcW w:w="2380" w:type="dxa"/>
            <w:vAlign w:val="bottom"/>
            <w:gridSpan w:val="4"/>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16E.</w:t>
            </w:r>
          </w:p>
        </w:tc>
        <w:tc>
          <w:tcPr>
            <w:tcW w:w="120" w:type="dxa"/>
            <w:vAlign w:val="bottom"/>
            <w:gridSpan w:val="4"/>
          </w:tcPr>
          <w:p>
            <w:pPr>
              <w:spacing w:after="0"/>
              <w:rPr>
                <w:sz w:val="17"/>
                <w:szCs w:val="17"/>
                <w:color w:val="auto"/>
              </w:rPr>
            </w:pPr>
          </w:p>
        </w:tc>
        <w:tc>
          <w:tcPr>
            <w:tcW w:w="200" w:type="dxa"/>
            <w:vAlign w:val="bottom"/>
          </w:tcPr>
          <w:p>
            <w:pPr>
              <w:spacing w:after="0"/>
              <w:rPr>
                <w:sz w:val="17"/>
                <w:szCs w:val="17"/>
                <w:color w:val="auto"/>
              </w:rPr>
            </w:pPr>
          </w:p>
        </w:tc>
        <w:tc>
          <w:tcPr>
            <w:tcW w:w="504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Purchases of Equity Securities by the Issuer and Affiliated Purchasers</w:t>
            </w:r>
          </w:p>
        </w:tc>
        <w:tc>
          <w:tcPr>
            <w:tcW w:w="1800" w:type="dxa"/>
            <w:vAlign w:val="bottom"/>
            <w:gridSpan w:val="2"/>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16F.</w:t>
            </w:r>
          </w:p>
        </w:tc>
        <w:tc>
          <w:tcPr>
            <w:tcW w:w="140" w:type="dxa"/>
            <w:vAlign w:val="bottom"/>
            <w:gridSpan w:val="5"/>
          </w:tcPr>
          <w:p>
            <w:pPr>
              <w:spacing w:after="0"/>
              <w:rPr>
                <w:sz w:val="17"/>
                <w:szCs w:val="17"/>
                <w:color w:val="auto"/>
              </w:rPr>
            </w:pPr>
          </w:p>
        </w:tc>
        <w:tc>
          <w:tcPr>
            <w:tcW w:w="200" w:type="dxa"/>
            <w:vAlign w:val="bottom"/>
          </w:tcPr>
          <w:p>
            <w:pPr>
              <w:spacing w:after="0"/>
              <w:rPr>
                <w:sz w:val="17"/>
                <w:szCs w:val="17"/>
                <w:color w:val="auto"/>
              </w:rPr>
            </w:pPr>
          </w:p>
        </w:tc>
        <w:tc>
          <w:tcPr>
            <w:tcW w:w="33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3480" w:type="dxa"/>
            <w:vAlign w:val="bottom"/>
            <w:gridSpan w:val="11"/>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16G.</w:t>
            </w:r>
          </w:p>
        </w:tc>
        <w:tc>
          <w:tcPr>
            <w:tcW w:w="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Corporate Governance</w:t>
            </w:r>
          </w:p>
        </w:tc>
        <w:tc>
          <w:tcPr>
            <w:tcW w:w="5160" w:type="dxa"/>
            <w:vAlign w:val="bottom"/>
            <w:gridSpan w:val="19"/>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16H.</w:t>
            </w:r>
          </w:p>
        </w:tc>
        <w:tc>
          <w:tcPr>
            <w:tcW w:w="10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1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Item 16I.</w:t>
            </w:r>
          </w:p>
        </w:tc>
        <w:tc>
          <w:tcPr>
            <w:tcW w:w="10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3180" w:type="dxa"/>
            <w:vAlign w:val="bottom"/>
            <w:gridSpan w:val="14"/>
            <w:shd w:val="clear" w:color="auto" w:fill="0000EE"/>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16J.</w:t>
            </w:r>
          </w:p>
        </w:tc>
        <w:tc>
          <w:tcPr>
            <w:tcW w:w="160" w:type="dxa"/>
            <w:vAlign w:val="bottom"/>
            <w:gridSpan w:val="6"/>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Insider Trading Policies</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5120" w:type="dxa"/>
            <w:vAlign w:val="bottom"/>
            <w:gridSpan w:val="17"/>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16K.</w:t>
            </w:r>
          </w:p>
        </w:tc>
        <w:tc>
          <w:tcPr>
            <w:tcW w:w="10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Cybersecurity</w:t>
            </w:r>
          </w:p>
        </w:tc>
        <w:tc>
          <w:tcPr>
            <w:tcW w:w="5820" w:type="dxa"/>
            <w:vAlign w:val="bottom"/>
            <w:gridSpan w:val="26"/>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r>
      <w:tr>
        <w:trPr>
          <w:trHeight w:val="196"/>
        </w:trPr>
        <w:tc>
          <w:tcPr>
            <w:tcW w:w="13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Part III</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r>
      <w:tr>
        <w:trPr>
          <w:trHeight w:val="196"/>
        </w:trPr>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17.</w:t>
            </w:r>
          </w:p>
        </w:tc>
        <w:tc>
          <w:tcPr>
            <w:tcW w:w="220" w:type="dxa"/>
            <w:vAlign w:val="bottom"/>
            <w:gridSpan w:val="8"/>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gridSpan w:val="6"/>
            <w:shd w:val="clear" w:color="auto" w:fill="0000EE"/>
          </w:tcPr>
          <w:p>
            <w:pPr>
              <w:spacing w:after="0" w:line="20" w:lineRule="exact"/>
              <w:rPr>
                <w:sz w:val="1"/>
                <w:szCs w:val="1"/>
                <w:color w:val="auto"/>
              </w:rPr>
            </w:pPr>
          </w:p>
        </w:tc>
        <w:tc>
          <w:tcPr>
            <w:tcW w:w="5340" w:type="dxa"/>
            <w:vAlign w:val="bottom"/>
            <w:gridSpan w:val="2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18.</w:t>
            </w:r>
          </w:p>
        </w:tc>
        <w:tc>
          <w:tcPr>
            <w:tcW w:w="220" w:type="dxa"/>
            <w:vAlign w:val="bottom"/>
            <w:gridSpan w:val="8"/>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19.</w:t>
            </w:r>
          </w:p>
        </w:tc>
        <w:tc>
          <w:tcPr>
            <w:tcW w:w="220" w:type="dxa"/>
            <w:vAlign w:val="bottom"/>
            <w:gridSpan w:val="8"/>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5340" w:type="dxa"/>
            <w:vAlign w:val="bottom"/>
            <w:gridSpan w:val="22"/>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r>
      <w:tr>
        <w:trPr>
          <w:trHeight w:val="20"/>
        </w:trPr>
        <w:tc>
          <w:tcPr>
            <w:tcW w:w="520" w:type="dxa"/>
            <w:vAlign w:val="bottom"/>
            <w:gridSpan w:val="3"/>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13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annual report, except where the context otherwise requires and for purposes of this annual report only:</w:t>
      </w:r>
    </w:p>
    <w:p>
      <w:pPr>
        <w:spacing w:after="0" w:line="185" w:lineRule="exact"/>
        <w:rPr>
          <w:sz w:val="20"/>
          <w:szCs w:val="20"/>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are to the American depositary receipts that evidence the ADSs;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are to the American depositary shares, each of which represents two Class A ordinary shares;</w:t>
      </w:r>
    </w:p>
    <w:p>
      <w:pPr>
        <w:spacing w:after="0" w:line="184"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“PRC” refers to the People’s Republic of China, including Hong Kong, Macau and Taiwan; and “mainland China” refers to the People’s Republic of China, excluding Hong Kong, Macau and Taiwan;</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are to our Class A ordinary shares, par value US$0.0001 per share;</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are to our Class B ordinary shares, par value US$0.0001 per share;</w:t>
      </w:r>
    </w:p>
    <w:p>
      <w:pPr>
        <w:spacing w:after="0" w:line="184"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“NIU,” “we,” “us,” and “our” are to Niu Technologies, our Cayman Islands holding company, its subsidiaries, and, in the context of describing our operations and consolidated financial information, the VIE and the subsidiaries of the VIE;</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to our Class A and Class B ordinary shares, par value US$0.0001 per share;</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 is to Niu Technologies, our Cayman Islands holding company;</w:t>
      </w:r>
    </w:p>
    <w:p>
      <w:pPr>
        <w:spacing w:after="0" w:line="184" w:lineRule="exact"/>
        <w:rPr>
          <w:rFonts w:ascii="Times New Roman" w:cs="Times New Roman" w:eastAsia="Times New Roman" w:hAnsi="Times New Roman"/>
          <w:sz w:val="18"/>
          <w:szCs w:val="18"/>
          <w:color w:val="auto"/>
        </w:rPr>
      </w:pPr>
    </w:p>
    <w:p>
      <w:pPr>
        <w:jc w:val="both"/>
        <w:ind w:left="680" w:hanging="321"/>
        <w:spacing w:after="0" w:line="258"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variable interest entity” and “the VIE” are to Beijing Niudian Technology Co., Ltd., or Beijing Niudian. The VIE is a domestic company incorporated in mainland China in which we do not have any equity ownership but whose financial results have been consolidated into our consolidated financial statements based solely on contractual arrangements in accordance with U.S. GAAP. See “Item 4. Information on the Company—C. Organizational Structure” for an illustrative diagram of our corporate structure;</w:t>
      </w:r>
    </w:p>
    <w:p>
      <w:pPr>
        <w:spacing w:after="0" w:line="142"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“WFOE” are to Beijing Niudian Information Technology Co., Ltd., or Niudian Information, a wholly foreign-owned entity in China;</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and “Renminbi” are to the legal currency of mainland China;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 and “dollars” are to the legal currency of the United States.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otherwise noted, all translations from Renminbi to U.S. dollars and from U.S. dollars to Renminbi in this annual report were made at a rate of RMB6.9931 to US$1.00, the exchange rate in effect as of December 31, 2025 as set forth in the H.10 statistical release of the Board of Governors of the Federal Reserve System. We make no representation that any Renminbi or U.S. dollar amounts could have been, or could be, converted into U.S. dollars or Renminbi, as the case may be, at any particular rate,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annual report on Form 20-F contains forward-looking statements that reflect our current expectations and views of future events. These statements are made under the “safe harbor” provisions of the U.S. Private Securities Litigation Reform Act of 1995. You can identify these forward-looking statements by terminology such as “may,” “will,” “expect,” “anticipate,” “future,” “intend,” “plan,” “believe,” “estimate,” “is/are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w:t>
      </w:r>
    </w:p>
    <w:p>
      <w:pPr>
        <w:spacing w:after="0" w:line="147" w:lineRule="exact"/>
        <w:rPr>
          <w:sz w:val="20"/>
          <w:szCs w:val="20"/>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mission, goals and strategies;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conditions and results of operations;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smart electric two-wheeled vehicle industry;</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products and services;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relationships with our users/customers, suppliers, strategic partners and other stakeholders;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and regulations relating to our industry.</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would like to caution you not to place undue reliance on these forward-looking statements and you should read these statements in conjunction with the risk factors disclosed in “Item 3. Key Information— D. Risk Factors.” Those risks are not exhaustive. We operate in a rapidly evolving environment. New risks emerge from time to time and it is impossible for our management to predict all risk factors, nor can we assess the impact of all factors on our business or the extent to which any factor, or combination of factors, may cause actual results to differ from those contained in any forward-looking statement. We do not undertake any obligation to update or revise the forward-looking statements except as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Holding Company Structure and Contractual Arrangements with the VIE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Niu Technologies is not an operating company in mainland China but a Cayman Islands holding company with operations primarily conducted through (i) our mainland China subsidiaries and (ii) contractual arrangements with the VIE based in mainland China. The laws and regulations of mainland China restrict and impose conditions on foreign direct investment in internet content, value-added telecommunication-based online marketing, audio and video services and mobile application distribution businesses. Accordingly, we operate these businesses in mainland China through the VIE, and rely on contractual arrangements among our mainland China subsidiaries, the VIE and its shareholders to conduct the business operations of the VIE. The VIE is consolidated for accounting purposes, but is not an entity in which our Cayman Islands holding company, or our investors, own equity. Revenues contributed by the VIE accounted for 99.6%, 98.8% and 96.8% of our total revenues for the year ended December 31, 2023, 2024 and 2025, respectively. As used in this annual report, “our company” refers to Niu Technologies, whereas “NIU,” “we,” “us,” and “our” refer to Niu Technologies, its subsidiaries, and, in the context of describing our operations and consolidated financial information, the VIE and its subsidiaries. Investors in our ADSs are not purchasing equity interest in the VIE in mainland China, but instead are purchasing equity interest in a holding company incorporated in the Cayman Islands.</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series of contractual agreements, including power of attorney, third amended and restated equity pledge agreement, amended and restated exclusive business cooperation agreements, third amended and restated exclusive option agreements and spousal consent letters, have been entered into by and among our subsidiaries, the VIE and its shareholders. Terms contained in each set of contractual arrangements with the VIE and its shareholders are substantially similar. As a result of the contractual arrangements, we have conducted the business operations and are considered the primary beneficiary of these companies, and we have consolidated financial results of these companies in our consolidated financial statements. For more details of these contractual arrangements, see “Item 4. Information on the Company—C. Organizational Structure—Contractual Arrangements with the VIE.”</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However, the contractual arrangements may not be as effective as direct ownership in the VIE and we may incur substantial costs to enforce the terms of the arrangements. If the VIE or its shareholders fail to perform their respective obligations under the contractual arrangements, we could be limited in our ability to enforce the contractual arrangements with the VIE, and these agreements have not been tested in courts of mainland China. Furthermore, if we lose our right to direct the activities of the VIE or our right to receive substantially all the economic benefits and residual returns from the VIE and we are not able to restructure our ownership structure and operations in a satisfactory manner, we would not be able to continue to consolidate the financial results of these entities in our financial statements. See “Item 3. Key Information—D. Risk Factors—Risks Related to Our Corporate Structure— We rely on contractual arrangements with the VIE and its shareholders for a large portion of our business operations, which may not be as effective as direct ownership.” and “Item 3. Key Information—D. Risk Factors—Risks Related to Our Corporate Structure—The shareholders of the VIE may have potential conflicts of interest with us, which may materially and adversely affect our business and financial condition.”</w:t>
      </w:r>
    </w:p>
    <w:p>
      <w:pPr>
        <w:spacing w:after="0" w:line="1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more details of our corporate structure, including our principal subsidiaries, the VIE and its principal subsidiaries, as of the date of this annual report, see “Item 4. Information on the Company—C. Organizational Structure.”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are also uncertainties regarding the interpretation and application of the current and future laws, regulations and rules of mainland China regarding the status of the rights of our Cayman Islands holding company with respect to its contractual arrangements with the VIE and its shareholders. It is uncertain whether any new laws or regulations of mainland China relating to variable interest entity structures will be adopted or if adopted, what they would provide. If we or any of the VIE is found to be in violation of any existing or future laws or regulations of mainland China, or fail to obtain or maintain any of the required permits or approvals, the PRC regulatory authorities would have broad discretion to take action in dealing with such violations or failures. See “Item 3. Key Information—D. Risk Factors—Risks Related to Our Corporate Structure—If the PRC government finds that the agreements that establish the structure for operating some of our operations in mainland China do not comply with the regulations of mainland China relating to the relevant industries, or if these regulations or the interpretation of existing regulations change or are interpreted differently in the future, we could be subject to severe penalties or be forced to relinquish our interests in those operations” and “—Uncertainties exist with respect to the interpretation and implementation of the newly enacted Foreign Investment Law of the PRC and how it may impact the viability of our current corporate structure, corporate governance and business operations.”</w:t>
      </w:r>
    </w:p>
    <w:p>
      <w:pPr>
        <w:spacing w:after="0" w:line="1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corporate structure is subject to risks associated with our contractual arrangements with the VIE. Our company and its investors may never have a direct ownership interest in the businesses that are conducted by the VIE. Uncertainties in the PRC legal system could limit our ability to enforce these contractual arrangements, and these contractual arrangements have not been tested in a court of law. If the PRC government finds that the agreements that establish the structure for operating our business in mainland China do not comply with the laws and regulations of mainland China, or if these regulations or the interpretation of existing regulations change or are interpreted differently in the future, we and the VIE could be subject to severe penalties or be forced to relinquish our interests in those operations. This would result in the VIE being deconsolidated. The majority of our assets, including the necessary licenses to conduct business in mainland China, are held by the VIE. A significant part of our revenues are generated by the VIE. An event that results in the deconsolidation of the VIE would have a material effect on our operations and result in the value of the securities of our company diminish substantially or even become worthless. Our company, our mainland China subsidiaries and the VIE, and investors of our company face uncertainty about potential future actions by the PRC government that could affect the enforceability of the contractual arrangements with the VIE and, consequently, significantly affect the financial performance of the VIE and our company as a whole. Our company may not be able to repay its indebtedness, and the ADSs of our company may decline in value or become worthless, if we are unable to assert contractual control over the assets of our mainland China subsidiaries and the VIE that conduct all or substantially all of our operations. For a detailed description of the risks associated with our corporate structure, please refer to risks disclosed under “Item 3. Key Information—D. Risk Factors—Risks Related to Our Corporate Structure.”</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company and the VIE face various legal and operational risks and uncertainties associated with being based in or having the majority of our operations in China and we are subject to the complex and evolving laws and regulations of mainland China. For example, we face risks associated with regulatory approvals on offshore offerings, the use of the VIE, anti-monopoly regulatory actions, and oversight on cybersecurity and data privacy. These risks could result in a material adverse change in our operations and the value of our ADSs, significantly limit or completely hinder our ability to continue to offer securities to investors, or cause the value of such securities to significantly decline or become worthless. For a detailed description of risks related to doing business in China, see “Item 3. Key Information—D. Risk Factors—Risks Related to Doing Business in China.”</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PRC government’s significant authority in regulating our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including data security or anti-monopoly related regulations, in this nature may cause the value of such securities to significantly decline. For more details, see “Item 3. Key Information—D. Risk Factors— Risks Related to Doing Business in China—The PRC government’s significant oversight over our business operation could result in a material adverse change in our operations and the value of our ADSs.”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Risks and uncertainties arising from the PRC legal system, including risks and uncertainties regarding the enforcement of laws and quickly evolving rules and regulations of mainland China, could result in a material adverse change in our operations and the value of our ADSs. For more details, see “Item 3. Key Information—D. Risk Factors— Risks Related to Our Corporate Structure—Uncertainties exist with respect to the interpretation and implementation of the newly enacted Foreign Investment Law of the PRC and how it may impact the viability of our current corporate structure, corporate governance and business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Pursuant to the Holding Foreign Companies Accountable Act, which was enacted on December 18, 2020 and further amended by the Consolidated Appropriations Act, 2023 signed into law on December 29, 2022, or the HFCAA, if the SEC determines that we have filed audit reports issued by a registered public accounting firm that has not been subject to inspections by the PCAOB for two consecutive years,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In May 2022, the SEC conclusively listed us as a Commission-Identified Issuer under the HFCAA following the filing of our annual report on Form 20-F for the fiscal year ended December 31, 2021. On December 15, 2022, the PCAOB issued a report that vacated its December 16, 2021 determination and removed mainland China and Hong Kong from the list of jurisdictions where it is unable to inspect or investigate completely registered public accounting firms. For this reason, we were not identified as a Commission-Identified Issuer under the HFCAA after we filed the annual report on Form 20-F for the fiscal year ended December 31, 2024 and do not expect to be so identified after we file this annual report on Form 20-F for the fiscal year ended December 31, 2025. Each year, the PCAOB will determine whether it can inspect and investigate completely audit firms in mainland China and Hong Kong, among other jurisdictions. If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Securities and Exchange Commission, or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“Item 3. Key Information—D. Risk Factors—Risks Related to Our Business and Industry—The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 “Item 3. Key Information—D. Risk Factors —Risks Related to Our Business and Industry-Our ADSs may be prohibited from trading in the United States under the HFCAA in the future if the PCAOB is unable to inspect or investigate completely auditors located in mainland China and Hong Kong. The delisting of the ADSs, or the threat of their being delisted, may materially and adversely affect the value of your investment.”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through Our Organization</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Niu Technologies is a holding company with no material operations of its own. We conduct our operations primarily through our subsidiaries, the VIE and its subsidiaries in mainland China. As a result, although other means are available for us to obtain financing at the holding company level, Niu Technologies’ ability to pay dividends to the shareholders and to service any debt it may incur may depend upon dividends paid by our mainland China subsidiaries and license and service fees paid by the VIE. If any of our subsidiaries incurs debt on its own behalf, the instruments governing such debt may restrict its ability to pay dividends to Niu Technologies. In addition, each of our mainland China subsidiaries and the VIE is required to set aside at least 10% of its after-tax profits each year, if any, to fund a statutory reserve until such reserve reaches 50% of its registered capital. Each of such entities in mainland China is also required to further set aside a portion of its after-tax profits to fund the employee welfare fund, although the amount to be set aside, if any, is determined at the discretion of its board of directors. These reserves are not distributable as cash dividends. For more details, see “Item 5. Operating and Financial Review and Prospects—B. Liquidity and Capital Resources—Cash flows and working capital.”</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established stringent controls and procedures for cash flows within our organization. Each transfer of cash between our Cayman Islands holding company and a subsidiary, the VIE or the subsidiaries of the VIE is subject to internal approval. The cash inflows of Niu Technologies were primarily generated from the proceeds received from Niu Technologies’ public offerings of ordinary shares, other financing activities and cash generated from our operating activities. For the years ended December 31, 2023, 2024 and 2025, Niu Technologies did not provide any capital contributions or loans to our mainland China subsidiaries. For the years ended December 31, 2023, 2024 and 2025, the VIE did not receive loans provided by Niu Technologies. For the years ended December 31, 2023, 2024 and 2025, no assets other than cash were transferred between Niu Technologies and a subsidiary, the VIE or its subsidiary, no subsidiaries paid dividends or made other distributions to Niu Technologies, and no dividends or distributions were paid or made to U.S. investors.</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our subsidiaries did not provide capital contributions to the VIE. We currently intend to retain most, if not all, of our available funds and any future earnings to operate and expand our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2023, 2024 and 2025, the VIE has paid RMB56.8 million, RMB58.1 million and RMB51.4 million (US$7.3 million) of service fee to our WFOE, respectively. We plan to continue to determine the amount of service fee and payment method with the VIE and its shareholders through bona fide negotiation, and settle fees under the contractual arrangements accordingly in the future.</w:t>
      </w:r>
    </w:p>
    <w:p>
      <w:pPr>
        <w:spacing w:after="0" w:line="1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a Cayman Islands holding company, we may receive dividends from our mainland China subsidiaries. Under the Enterprise Income Tax Law of the PRC and related regulations, dividends, interests, rent or royalties payable by a foreign-invested enterprise, such as our mainland China subsidiaries, to any of its foreign non-resident enterprise investors, and proceeds from any such foreign enterprise investor’s disposition of assets (after deducting the net value of such assets) are subject to a 10% withholding tax, unless the foreign enterprise investor’s jurisdiction of incorporation has a tax treaty with mainland China that provides for a reduced rate of withholding tax. Undistributed profits earned by foreign-invested enterprises prior to January 1, 2008 are exempted from any withholding tax. The Cayman Islands, where Niu Technologies, the direct parent company of our subsidiaries, is incorporated, does not have such a tax treaty with mainland China. Hong Kong has a tax arrangement with mainland China that provides for a 5% withholding tax on dividends subject to certain conditions and requirements, such as the requirement that the Hong Kong resident enterprise own at least 25% of the mainland China enterprise distributing the dividend at all times within the twelve-month period immediately preceding the distribution of dividends and be a “beneficial owner” of the dividends. For example, Niu Technologies Group Limited, which directly owns our mainland China subsidiary, Niudian Information, is incorporated in Hong Kong. However, if Niu Technologies Group Limited is not considered to be the beneficial owner of the dividends paid to it by Niudian Information under the tax circulars promulgated in February and October 2009, such dividends would be subject to withholding tax at a rate of 10%. If our mainland China subsidiaries declare and distribute profits to us, such payments will be subject to withholding tax, which will increase our tax liability and reduce the amount of cash available to our company. See “Item 3. Key Information—D. Risk Factors—Risks Related to Doing Business in China—We may rely on dividends and other distributions on equity paid by our mainland China subsidiaries to fund any cash and financing requirements we may have, and any limitation on the ability of our mainland China subsidiaries to make payments to us could have a material and adverse effect on our ability to conduct our business” for more details. If our holding company in the Cayman Islands or any of our subsidiaries outside of mainland China were deemed to be a “resident enterprise” under the PRC Enterprise Income Tax Law, it would be subject to enterprise income tax on its worldwide income at a rate of 25%. See “Item 3. Key Information—D. Risk Factors—Risks Related to Doing Business in China—If we are classified as a mainland China resident enterprise for mainland China income tax purposes, such classification could result in unfavorable tax consequences to us and our non-mainland China shareholders or ADS holders.”</w:t>
      </w:r>
    </w:p>
    <w:p>
      <w:pPr>
        <w:spacing w:after="0" w:line="16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purposes of illustration, the following discussion reflects the hypothetical taxes that might be required to be paid within mainland China, assuming that: (i) we have taxable earnings, and (ii) we determine to pay dividends in the future.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80" w:type="dxa"/>
            <w:vAlign w:val="bottom"/>
          </w:tcPr>
          <w:p>
            <w:pPr>
              <w:spacing w:after="0"/>
              <w:rPr>
                <w:sz w:val="20"/>
                <w:szCs w:val="20"/>
                <w:color w:val="auto"/>
              </w:rPr>
            </w:pPr>
          </w:p>
        </w:tc>
        <w:tc>
          <w:tcPr>
            <w:tcW w:w="5920" w:type="dxa"/>
            <w:vAlign w:val="bottom"/>
          </w:tcPr>
          <w:p>
            <w:pPr>
              <w:ind w:left="574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 xml:space="preserve">Tax calculation </w:t>
            </w:r>
            <w:r>
              <w:rPr>
                <w:rFonts w:ascii="Times New Roman" w:cs="Times New Roman" w:eastAsia="Times New Roman" w:hAnsi="Times New Roman"/>
                <w:sz w:val="21"/>
                <w:szCs w:val="21"/>
                <w:b w:val="1"/>
                <w:bCs w:val="1"/>
                <w:color w:val="auto"/>
                <w:vertAlign w:val="superscript"/>
              </w:rPr>
              <w:t>(1)</w:t>
            </w:r>
          </w:p>
        </w:tc>
      </w:tr>
      <w:tr>
        <w:trPr>
          <w:trHeight w:val="210"/>
        </w:trPr>
        <w:tc>
          <w:tcPr>
            <w:tcW w:w="840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Hypothetical pre-tax earnings</w:t>
            </w:r>
            <w:r>
              <w:rPr>
                <w:rFonts w:ascii="Times New Roman" w:cs="Times New Roman" w:eastAsia="Times New Roman" w:hAnsi="Times New Roman"/>
                <w:sz w:val="24"/>
                <w:szCs w:val="24"/>
                <w:color w:val="auto"/>
                <w:vertAlign w:val="superscript"/>
              </w:rPr>
              <w:t>(2)</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84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Tax on earnings at statutory rate of 25%</w:t>
            </w:r>
            <w:r>
              <w:rPr>
                <w:rFonts w:ascii="Times New Roman" w:cs="Times New Roman" w:eastAsia="Times New Roman" w:hAnsi="Times New Roman"/>
                <w:sz w:val="25"/>
                <w:szCs w:val="25"/>
                <w:color w:val="auto"/>
                <w:vertAlign w:val="superscript"/>
              </w:rPr>
              <w:t>(3)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available for distribution</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16"/>
        </w:trPr>
        <w:tc>
          <w:tcPr>
            <w:tcW w:w="84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Withholding tax at standard rate of 10%</w:t>
            </w:r>
            <w:r>
              <w:rPr>
                <w:rFonts w:ascii="Times New Roman" w:cs="Times New Roman" w:eastAsia="Times New Roman" w:hAnsi="Times New Roman"/>
                <w:sz w:val="25"/>
                <w:szCs w:val="25"/>
                <w:color w:val="auto"/>
                <w:vertAlign w:val="superscript"/>
              </w:rPr>
              <w:t>(4)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distribution to Parent/Shareholders</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r>
      <w:tr>
        <w:trPr>
          <w:trHeight w:val="128"/>
        </w:trPr>
        <w:tc>
          <w:tcPr>
            <w:tcW w:w="2480" w:type="dxa"/>
            <w:vAlign w:val="bottom"/>
            <w:tcBorders>
              <w:bottom w:val="single" w:sz="8" w:color="auto"/>
            </w:tcBorders>
          </w:tcPr>
          <w:p>
            <w:pPr>
              <w:spacing w:after="0"/>
              <w:rPr>
                <w:sz w:val="11"/>
                <w:szCs w:val="11"/>
                <w:color w:val="auto"/>
              </w:rPr>
            </w:pPr>
          </w:p>
        </w:tc>
        <w:tc>
          <w:tcPr>
            <w:tcW w:w="5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80" w:type="dxa"/>
            <w:vAlign w:val="bottom"/>
          </w:tcPr>
          <w:p>
            <w:pPr>
              <w:spacing w:after="0"/>
              <w:rPr>
                <w:sz w:val="11"/>
                <w:szCs w:val="1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69" w:lineRule="exact"/>
        <w:rPr>
          <w:sz w:val="20"/>
          <w:szCs w:val="20"/>
          <w:color w:val="auto"/>
        </w:rPr>
      </w:pPr>
    </w:p>
    <w:p>
      <w:pPr>
        <w:ind w:left="340" w:hanging="332"/>
        <w:spacing w:after="0" w:line="261"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example, the tax calculation has been simplified. The hypothetical book pre-tax earnings amount, not considering timing differences, is assumed to equal taxable income in mainland China.</w:t>
      </w:r>
    </w:p>
    <w:p>
      <w:pPr>
        <w:spacing w:after="0" w:line="135" w:lineRule="exact"/>
        <w:rPr>
          <w:rFonts w:ascii="Times New Roman" w:cs="Times New Roman" w:eastAsia="Times New Roman" w:hAnsi="Times New Roman"/>
          <w:sz w:val="14"/>
          <w:szCs w:val="14"/>
          <w:color w:val="auto"/>
        </w:rPr>
      </w:pPr>
    </w:p>
    <w:p>
      <w:pPr>
        <w:jc w:val="both"/>
        <w:ind w:left="340" w:hanging="332"/>
        <w:spacing w:after="0" w:line="236"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terms of VIE agreements, our mainland China subsidiaries may charge the VIE for services provided to VIE. These service fees shall be recognized as expenses of the VIE, with a corresponding amount as service income by our mainland China subsidiaries and eliminate in consolidation. For income tax purposes, our mainland China subsidiaries and the VIE file income tax returns on a separate company basis. The service fees paid are recognized as a tax deduction by the VIE and as income by our mainland China subsidiaries and are tax neutral.</w:t>
      </w:r>
    </w:p>
    <w:p>
      <w:pPr>
        <w:spacing w:after="0" w:line="136"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VIE and one of its subsidiaries qualify for a 15% preferential income tax rate in mainland China. However, such rate is subject to qualification, is temporary in nature, and may not be available in a future period when distributions are paid. For purposes of this hypothetical example, the table above reflects a maximum tax scenario under which the full statutory rate would be effective.</w:t>
      </w:r>
    </w:p>
    <w:p>
      <w:pPr>
        <w:spacing w:after="0" w:line="136" w:lineRule="exact"/>
        <w:rPr>
          <w:rFonts w:ascii="Times New Roman" w:cs="Times New Roman" w:eastAsia="Times New Roman" w:hAnsi="Times New Roman"/>
          <w:sz w:val="14"/>
          <w:szCs w:val="14"/>
          <w:color w:val="auto"/>
        </w:rPr>
      </w:pPr>
    </w:p>
    <w:p>
      <w:pPr>
        <w:jc w:val="both"/>
        <w:ind w:left="340" w:hanging="332"/>
        <w:spacing w:after="0" w:line="236"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PRC Enterprise Income Tax Law imposes a withholding income tax of 10% on dividends distributed by a foreign invested enterprise to its immediate holding company outside of mainland China. A lower withholding income tax rate of 5% is applied if the foreign investment enterprise’s immediate holding company is registered in Hong Kong or other jurisdictions that have a tax treaty arrangement with mainland China, subject to a qualification review at the time of the distribution. For purposes of this hypothetical example, the table above assumes a maximum tax scenario under which the full withholding tax would be applied.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table above has been prepared under the assumption that all profits of the VIE will be distributed as fees to our mainland China subsidiaries under tax neutral contractual arrangements. If, in the future, the accumulated earnings of the VIE exceed the service fees paid to our mainland China subsidiaries (or if the current and contemplated fee structure between the intercompany entities is determined to be non-substantive and disallowed by Chinese tax authorities), the VIE could make a non-deductible transfer to our mainland China subsidiaries for the amounts of the stranded cash in the VIE. This would result in such transfer being non-deductible expenses for the VIE but still taxable income for the mainland China subsidiaries.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laws and regulations of mainland China, we are subject to restrictions on foreign exchange and cross-border cash transfers, including to U.S. investors. Our ability to distribute earnings to the holding company and U.S. investors is also limited. We are a Cayman Islands holding company and we may rely on dividends and other distributions on equity paid by our mainland China subsidiaries, which in turn relies on consulting and other fees paid to us by the VIE, for our cash and financing requirements, including the funds necessary to pay dividends and other cash distributions to our shareholders and service any debt we may incur. When any of our mainland China subsidiaries incurs debt on its own behalf, the instruments governing the debt may restrict its ability to pay dividends or make other distributions to us.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our mainland China subsidiaries, the VIE and its subsidiaries generate their revenue primarily in Renminbi, which is not freely convertible into other currencies. As a result, any restriction on currency exchange may limit the ability of our mainland China subsidiaries to pay dividends to us. For more details, see “Item 3. Key Information—D. Risk Factors—Risks Related to Doing Business in China—We may rely on dividends and other distributions on equity paid by our mainland China subsidiaries to fund any cash and financing requirements we may have, and any limitation on the ability of our mainland China subsidiaries to make payments to us could have a material and adverse effect on our ability to conduct our business” and “—Mainland China’s regulation of loans to and direct investment in mainland China entities by offshore holding companies and governmental control of currency conversion may delay or prevent us from using the proceeds of our offshore offerings to make loans to or make additional capital contributions to our mainland China subsidiaries, which could materially and adversely affect our liquidity and our ability to fund and expand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Permissions Required from the PRC Government Authorities for Our Operations</w:t>
      </w:r>
    </w:p>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conduct our business primarily through our subsidiaries and the VIE in mainland China. Our operations in mainland China are governed by the laws and regulations of mainland China. As of the date of this annual report, our mainland China subsidiaries and the VIE have obtained all requisite licenses, permits and approvals from the PRC government authorities for the business operations of our subsidiaries and the VIE in mainland China. These permissions and approvals include, among others, China Compulsory Certification, the Value-added Telecommunications Business Operation Licenses for Information Services via Internet, and Motorcycle Production Access Certificate. For more information, see “Item 4. Information on the Company—B. Business Overview— Regulations.” Our mainland China subsidiaries and the VIE have not been denied for any permission or approval from any PRC government authority with respect to the operation of our business. As of the date of this annual report, under current PRC laws, regulations and rules, we, our mainland China subsidiaries and the VIE are not required to obtain permissions from the China Securities Regulatory Commission, or the CSRC, or go through cybersecurity review by the Cyberspace Administration of China, or the CAC, or obtain permission or approval from other PRC government authorities with respect to the operation of our business and previous issuances of securities by our company to foreign investors, except for the permissions or approvals listed above that have been obtained. However, given the uncertainties of interpretation and implementation of the laws and regulations and the enforcement practice by the government authorities, we may be required to obtain additional licenses, permits, filings or approvals to operate business or offer securities to foreign investors, and may not be able to maintain or renew our current licenses, permits, filings or approvals. If we, our mainland China subsidiaries and the VIE (i) do not receive or maintain any necessary permissions or approvals from PRC authorities to operate business or offer securities being registered to foreign investors, or (ii) inadvertently conclude that such permissions or approvals are not required, or if applicable laws, regulations, or interpretations change and we are required to obtain such permissions or approvals in the future, we cannot assure you that we will be able to obtain the necessary permissions or approvals in a timely manner, or at all, and such approvals may be rescinded even if obtained. Any such circumstance could subject us to penalties, including fines, suspension of business and revocation of required licenses, significantly limit or completely hinder our ability to continue to offer securities to investors, and cause the value of our ADSs to significantly decline or be worthless. For more detailed information, see “Item 3. Key Information—D. Risk Factors—Risks Related to Our Business and Industry—We may be adversely affected by the complexity, uncertainties and changes in the regulation on internet-related businesses and companies in mainland China.”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Overseas Financing Activities</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PRC government has sought to exert more oversight and control over capital raising activities of listed companies that are conducted overseas and/or foreign investment in China-based issuers. In December 2021, the CAC, together with other authorities, jointly promulgated the Cybersecurity Review Measures, which became effective on February 15, 2022 and replaced its predecessor regulation. Pursuant to the Cybersecurity Review Measures, critical information infrastructure operators that procure internet products and services and network platform operators that conduct data process activities must be subject to the cybersecurity review if their activities affect or may affect national security. The Cybersecurity Review Measures further stipulates that network platform operators that hold personal information of over one million users shall apply with the Cybersecurity Review Office for a cybersecurity review before any public offering at a foreign stock exchange. On February 17, 2023, the CSRC released several regulations regarding the filing requirements for overseas offerings and listings by domestic companies, including the Trial Administrative Measures of Overseas Securities Offering and Listing by Domestic Companies and five supporting guidelines, or collectively, the Overseas Listing Trial Measures, which took effect on March 31, 2023. According to the Overseas Listing Trial Measures, PRC domestic enterprises that have completed overseas listings are not required to make any immediate filing with the CSRC. However, such companies will be required to comply with the filing requirements under the Overseas Listing Trial Measures if and when they pursue any future securities offerings or listings outside of mainland China, including but not limited to follow-on offerings and secondary listings. Any failure to obtain or delay in obtaining such approval or completing such review or filing procedures under the Overseas Listing Trial Measures or otherwise, for any future securities offerings and listings outside of mainland China, including but not limited to follow-on offerings and secondary listings, could subject us to restrictions and penalties imposed by the CSRC, which could include fines and penalties on our operations in mainland China, delays to or restrictions on the repatriation of the proceeds from our offshore offerings into mainland China, restrictions on or delays to our future offshore financing transactions, or other actions that could materially and adversely affect our business, financial condition, results of operations, and prospects, as well as the trading price of our ADSs.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date of this annual report, under current PRC laws, regulations and rules, we, our mainland China subsidiaries and the VIE are not required to obtain permissions from the CSRC, or go through a cybersecurity review by the CAC, or obtain permission or approval from other PRC government authorities with respect to the previous issuances of securities by our company to foreign investors. For more detailed information, see “Item 3. Key Information—D. Risk Factors—Risks Related to Doing Business in China—The filing, approval or other administration requirements of the CSRC or other PRC government authorities may be required in connection with our offshore offerings under PRC law, and, if required, we cannot predict whether or for how long we will be able to complete such filing, obtain such approval or meet such requirements.”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Related to Our Subsidiaries and the VIE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condensed consolidating schedule of results of operations for our subsidiaries and the VIE for the periods presented. In this table:</w:t>
      </w:r>
    </w:p>
    <w:p>
      <w:pPr>
        <w:spacing w:after="0" w:line="135" w:lineRule="exact"/>
        <w:rPr>
          <w:sz w:val="20"/>
          <w:szCs w:val="20"/>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“Niu Technologies” refers to our Cayman Islands holding company.</w:t>
      </w:r>
    </w:p>
    <w:p>
      <w:pPr>
        <w:spacing w:after="0" w:line="184"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Subsidiaries” refer to the sum of Niu Technologies Group Limited, Niu Innovation Technology Ltd and other wholly-owned subsidiaries.</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“WFOE” refers to Beijing Niudian Information Technology Co., Ltd., or Niudian Information.</w:t>
      </w:r>
    </w:p>
    <w:p>
      <w:pPr>
        <w:spacing w:after="0" w:line="198"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 and VIE’s Subsidiaries” refer to the sum of Beijing Niudian Technology Co., Ltd., or Beijing Niudian, and all of its subsidiaries in mainland China.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Consolidating Statements of Loss Information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06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680" w:type="dxa"/>
            <w:vAlign w:val="bottom"/>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top w:val="single" w:sz="8" w:color="auto"/>
            </w:tcBorders>
            <w:gridSpan w:val="2"/>
          </w:tcPr>
          <w:p>
            <w:pPr>
              <w:ind w:left="280"/>
              <w:spacing w:after="0" w:line="118" w:lineRule="exact"/>
              <w:rPr>
                <w:sz w:val="20"/>
                <w:szCs w:val="20"/>
                <w:color w:val="auto"/>
              </w:rPr>
            </w:pPr>
            <w:r>
              <w:rPr>
                <w:rFonts w:ascii="Times New Roman" w:cs="Times New Roman" w:eastAsia="Times New Roman" w:hAnsi="Times New Roman"/>
                <w:sz w:val="13"/>
                <w:szCs w:val="13"/>
                <w:b w:val="1"/>
                <w:bCs w:val="1"/>
                <w:color w:val="auto"/>
              </w:rPr>
              <w:t>Niu</w:t>
            </w: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3"/>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680" w:type="dxa"/>
            <w:vAlign w:val="bottom"/>
            <w:tcBorders>
              <w:top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WFOE</w:t>
            </w: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VIE and its</w:t>
            </w:r>
          </w:p>
        </w:tc>
        <w:tc>
          <w:tcPr>
            <w:tcW w:w="940" w:type="dxa"/>
            <w:vAlign w:val="bottom"/>
            <w:tcBorders>
              <w:top w:val="single" w:sz="8" w:color="auto"/>
            </w:tcBorders>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0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​​​Technologies</w:t>
            </w: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​​​Subsidiaries ​​​</w:t>
            </w:r>
          </w:p>
        </w:tc>
        <w:tc>
          <w:tcPr>
            <w:tcW w:w="680" w:type="dxa"/>
            <w:vAlign w:val="bottom"/>
            <w:gridSpan w:val="2"/>
            <w:vMerge w:val="continue"/>
          </w:tcPr>
          <w:p>
            <w:pPr>
              <w:spacing w:after="0"/>
              <w:rPr>
                <w:sz w:val="15"/>
                <w:szCs w:val="15"/>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Subsidiaries</w:t>
            </w:r>
          </w:p>
        </w:tc>
        <w:tc>
          <w:tcPr>
            <w:tcW w:w="940" w:type="dxa"/>
            <w:vAlign w:val="bottom"/>
            <w:gridSpan w:val="3"/>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gridSpan w:val="2"/>
          </w:tcPr>
          <w:p>
            <w:pPr>
              <w:jc w:val="center"/>
              <w:ind w:right="555"/>
              <w:spacing w:after="0" w:line="104" w:lineRule="exact"/>
              <w:rPr>
                <w:sz w:val="20"/>
                <w:szCs w:val="20"/>
                <w:color w:val="auto"/>
              </w:rPr>
            </w:pPr>
            <w:r>
              <w:rPr>
                <w:rFonts w:ascii="Times New Roman" w:cs="Times New Roman" w:eastAsia="Times New Roman" w:hAnsi="Times New Roman"/>
                <w:sz w:val="12"/>
                <w:szCs w:val="12"/>
                <w:b w:val="1"/>
                <w:bCs w:val="1"/>
                <w:color w:val="auto"/>
              </w:rPr>
              <w:t>RMB</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Revenues </w:t>
            </w:r>
            <w:r>
              <w:rPr>
                <w:rFonts w:ascii="Times New Roman" w:cs="Times New Roman" w:eastAsia="Times New Roman" w:hAnsi="Times New Roman"/>
                <w:sz w:val="25"/>
                <w:szCs w:val="25"/>
                <w:color w:val="auto"/>
                <w:vertAlign w:val="superscript"/>
              </w:rPr>
              <w:t>(4)</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48,675</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4,328,390</w:t>
            </w:r>
          </w:p>
        </w:tc>
        <w:tc>
          <w:tcPr>
            <w:tcW w:w="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(254,518)</w:t>
            </w: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4,307,865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Cost of revenues </w:t>
            </w:r>
            <w:r>
              <w:rPr>
                <w:rFonts w:ascii="Times New Roman" w:cs="Times New Roman" w:eastAsia="Times New Roman" w:hAnsi="Times New Roman"/>
                <w:sz w:val="25"/>
                <w:szCs w:val="25"/>
                <w:color w:val="auto"/>
                <w:vertAlign w:val="superscript"/>
              </w:rPr>
              <w:t>(4)</w:t>
            </w:r>
          </w:p>
        </w:tc>
        <w:tc>
          <w:tcPr>
            <w:tcW w:w="2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(143,386)</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(1,141)</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(3,467,644)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147,877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41,932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47,534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860,746</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(106,641)</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843,571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Selling and marketing expenses </w:t>
            </w:r>
            <w:r>
              <w:rPr>
                <w:rFonts w:ascii="Times New Roman" w:cs="Times New Roman" w:eastAsia="Times New Roman" w:hAnsi="Times New Roman"/>
                <w:sz w:val="25"/>
                <w:szCs w:val="25"/>
                <w:color w:val="auto"/>
                <w:vertAlign w:val="superscript"/>
              </w:rPr>
              <w:t>(4)</w:t>
            </w:r>
          </w:p>
        </w:tc>
        <w:tc>
          <w:tcPr>
            <w:tcW w:w="2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(68,655)</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(25,326)</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(663,747)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81,959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Research and development expenses </w:t>
            </w:r>
            <w:r>
              <w:rPr>
                <w:rFonts w:ascii="Times New Roman" w:cs="Times New Roman" w:eastAsia="Times New Roman" w:hAnsi="Times New Roman"/>
                <w:sz w:val="25"/>
                <w:szCs w:val="25"/>
                <w:color w:val="auto"/>
                <w:vertAlign w:val="superscript"/>
              </w:rPr>
              <w:t>(4)</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(6,119)</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(166,811)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General and administrative expenses </w:t>
            </w:r>
            <w:r>
              <w:rPr>
                <w:rFonts w:ascii="Times New Roman" w:cs="Times New Roman" w:eastAsia="Times New Roman" w:hAnsi="Times New Roman"/>
                <w:sz w:val="25"/>
                <w:szCs w:val="25"/>
                <w:color w:val="auto"/>
                <w:vertAlign w:val="superscript"/>
              </w:rPr>
              <w:t>(4)</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(12,322)</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(18,819)</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(59,603)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(12,322)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(69,464)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(50,264)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(890,161)</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89,026</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(933,185)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2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Share of loss from subsidiaries, consolidated VIE and</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020" w:type="dxa"/>
            <w:vAlign w:val="bottom"/>
            <w:shd w:val="clear" w:color="auto" w:fill="CCEEFF"/>
          </w:tcPr>
          <w:p>
            <w:pPr>
              <w:ind w:left="120"/>
              <w:spacing w:after="0" w:line="242" w:lineRule="exact"/>
              <w:rPr>
                <w:sz w:val="20"/>
                <w:szCs w:val="20"/>
                <w:color w:val="auto"/>
              </w:rPr>
            </w:pPr>
            <w:r>
              <w:rPr>
                <w:rFonts w:ascii="Times New Roman" w:cs="Times New Roman" w:eastAsia="Times New Roman" w:hAnsi="Times New Roman"/>
                <w:sz w:val="18"/>
                <w:szCs w:val="18"/>
                <w:color w:val="auto"/>
              </w:rPr>
              <w:t xml:space="preserve">VIE’s subsidiaries </w:t>
            </w:r>
            <w:r>
              <w:rPr>
                <w:rFonts w:ascii="Times New Roman" w:cs="Times New Roman" w:eastAsia="Times New Roman" w:hAnsi="Times New Roman"/>
                <w:sz w:val="26"/>
                <w:szCs w:val="26"/>
                <w:color w:val="auto"/>
                <w:vertAlign w:val="superscript"/>
              </w:rPr>
              <w:t>(3)</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(36,346)</w:t>
            </w:r>
          </w:p>
        </w:tc>
        <w:tc>
          <w:tcPr>
            <w:tcW w:w="1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36,346</w:t>
            </w:r>
          </w:p>
        </w:tc>
        <w:tc>
          <w:tcPr>
            <w:tcW w:w="4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2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(5,874)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14,290</w:t>
            </w:r>
          </w:p>
        </w:tc>
        <w:tc>
          <w:tcPr>
            <w:tcW w:w="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(39,386)</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(24,560)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(2,393)</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(14,761)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18,731</w:t>
            </w:r>
          </w:p>
        </w:tc>
        <w:tc>
          <w:tcPr>
            <w:tcW w:w="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22,899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(39,386)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18,731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3800" w:type="dxa"/>
            <w:vAlign w:val="bottom"/>
            <w:gridSpan w:val="1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Niu</w:t>
            </w: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2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gridSpan w:val="2"/>
            <w:vMerge w:val="restart"/>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WFOE</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VIE and its</w:t>
            </w:r>
          </w:p>
        </w:tc>
        <w:tc>
          <w:tcPr>
            <w:tcW w:w="1000" w:type="dxa"/>
            <w:vAlign w:val="bottom"/>
            <w:tcBorders>
              <w:top w:val="single" w:sz="8" w:color="auto"/>
            </w:tcBorders>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Technologies</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Subsidiaries</w:t>
            </w:r>
          </w:p>
        </w:tc>
        <w:tc>
          <w:tcPr>
            <w:tcW w:w="22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Subsidiaries</w:t>
            </w:r>
          </w:p>
        </w:tc>
        <w:tc>
          <w:tcPr>
            <w:tcW w:w="1000" w:type="dxa"/>
            <w:vAlign w:val="bottom"/>
            <w:gridSpan w:val="3"/>
            <w:vMerge w:val="continue"/>
          </w:tcPr>
          <w:p>
            <w:pPr>
              <w:spacing w:after="0"/>
              <w:rPr>
                <w:sz w:val="15"/>
                <w:szCs w:val="15"/>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3"/>
          </w:tcPr>
          <w:p>
            <w:pPr>
              <w:jc w:val="center"/>
              <w:ind w:right="597"/>
              <w:spacing w:after="0" w:line="104" w:lineRule="exact"/>
              <w:rPr>
                <w:sz w:val="20"/>
                <w:szCs w:val="20"/>
                <w:color w:val="auto"/>
              </w:rPr>
            </w:pPr>
            <w:r>
              <w:rPr>
                <w:rFonts w:ascii="Times New Roman" w:cs="Times New Roman" w:eastAsia="Times New Roman" w:hAnsi="Times New Roman"/>
                <w:sz w:val="12"/>
                <w:szCs w:val="12"/>
                <w:b w:val="1"/>
                <w:bCs w:val="1"/>
                <w:color w:val="auto"/>
              </w:rPr>
              <w:t>RMB</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Revenues </w:t>
            </w:r>
            <w:r>
              <w:rPr>
                <w:rFonts w:ascii="Times New Roman" w:cs="Times New Roman" w:eastAsia="Times New Roman" w:hAnsi="Times New Roman"/>
                <w:sz w:val="25"/>
                <w:szCs w:val="25"/>
                <w:color w:val="auto"/>
                <w:vertAlign w:val="superscript"/>
              </w:rPr>
              <w:t>(4)</w:t>
            </w:r>
          </w:p>
        </w:tc>
        <w:tc>
          <w:tcPr>
            <w:tcW w:w="14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87,566</w:t>
            </w: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3,395,510</w:t>
            </w:r>
          </w:p>
        </w:tc>
        <w:tc>
          <w:tcPr>
            <w:tcW w:w="100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(249,625)</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Cost of revenues </w:t>
            </w:r>
            <w:r>
              <w:rPr>
                <w:rFonts w:ascii="Times New Roman" w:cs="Times New Roman" w:eastAsia="Times New Roman" w:hAnsi="Times New Roman"/>
                <w:sz w:val="26"/>
                <w:szCs w:val="26"/>
                <w:color w:val="auto"/>
                <w:vertAlign w:val="superscript"/>
              </w:rPr>
              <w:t>(4)</w:t>
            </w:r>
          </w:p>
        </w:tc>
        <w:tc>
          <w:tcPr>
            <w:tcW w:w="14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(52,564)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3"/>
          </w:tcPr>
          <w:p>
            <w:pPr>
              <w:jc w:val="right"/>
              <w:ind w:right="13"/>
              <w:spacing w:after="0"/>
              <w:rPr>
                <w:sz w:val="20"/>
                <w:szCs w:val="20"/>
                <w:color w:val="auto"/>
              </w:rPr>
            </w:pPr>
            <w:r>
              <w:rPr>
                <w:rFonts w:ascii="Times New Roman" w:cs="Times New Roman" w:eastAsia="Times New Roman" w:hAnsi="Times New Roman"/>
                <w:sz w:val="18"/>
                <w:szCs w:val="18"/>
                <w:color w:val="auto"/>
              </w:rPr>
              <w:t>(56)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(2,832,730)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95,817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(2,789,533)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35,002</w:t>
            </w:r>
          </w:p>
        </w:tc>
        <w:tc>
          <w:tcPr>
            <w:tcW w:w="60" w:type="dxa"/>
            <w:vAlign w:val="bottom"/>
            <w:tcBorders>
              <w:top w:val="single" w:sz="8" w:color="CCEEFF"/>
              <w:lef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54,789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562,780</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(153,808)</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Selling and marketing expenses </w:t>
            </w:r>
            <w:r>
              <w:rPr>
                <w:rFonts w:ascii="Times New Roman" w:cs="Times New Roman" w:eastAsia="Times New Roman" w:hAnsi="Times New Roman"/>
                <w:sz w:val="25"/>
                <w:szCs w:val="25"/>
                <w:color w:val="auto"/>
                <w:vertAlign w:val="superscript"/>
              </w:rPr>
              <w:t>(4)</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(44,140)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3"/>
              <w:spacing w:after="0"/>
              <w:rPr>
                <w:sz w:val="20"/>
                <w:szCs w:val="20"/>
                <w:color w:val="auto"/>
              </w:rPr>
            </w:pPr>
            <w:r>
              <w:rPr>
                <w:rFonts w:ascii="Times New Roman" w:cs="Times New Roman" w:eastAsia="Times New Roman" w:hAnsi="Times New Roman"/>
                <w:sz w:val="18"/>
                <w:szCs w:val="18"/>
                <w:color w:val="auto"/>
              </w:rPr>
              <w:t>(27,148)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(514,028)</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95,738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Research and development expenses </w:t>
            </w:r>
            <w:r>
              <w:rPr>
                <w:rFonts w:ascii="Times New Roman" w:cs="Times New Roman" w:eastAsia="Times New Roman" w:hAnsi="Times New Roman"/>
                <w:sz w:val="25"/>
                <w:szCs w:val="25"/>
                <w:color w:val="auto"/>
                <w:vertAlign w:val="superscript"/>
              </w:rPr>
              <w:t>(4)</w:t>
            </w:r>
          </w:p>
        </w:tc>
        <w:tc>
          <w:tcPr>
            <w:tcW w:w="14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(8,072)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(129,741)</w:t>
            </w:r>
          </w:p>
        </w:tc>
        <w:tc>
          <w:tcPr>
            <w:tcW w:w="100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General and administrative expenses </w:t>
            </w:r>
            <w:r>
              <w:rPr>
                <w:rFonts w:ascii="Times New Roman" w:cs="Times New Roman" w:eastAsia="Times New Roman" w:hAnsi="Times New Roman"/>
                <w:sz w:val="25"/>
                <w:szCs w:val="25"/>
                <w:color w:val="auto"/>
                <w:vertAlign w:val="superscript"/>
              </w:rPr>
              <w:t>(4)</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(13,025)</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(8,583)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3"/>
              <w:spacing w:after="0"/>
              <w:rPr>
                <w:sz w:val="20"/>
                <w:szCs w:val="20"/>
                <w:color w:val="auto"/>
              </w:rPr>
            </w:pPr>
            <w:r>
              <w:rPr>
                <w:rFonts w:ascii="Times New Roman" w:cs="Times New Roman" w:eastAsia="Times New Roman" w:hAnsi="Times New Roman"/>
                <w:sz w:val="18"/>
                <w:szCs w:val="18"/>
                <w:color w:val="auto"/>
              </w:rPr>
              <w:t>(21,799)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(89,565)</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(13,025)</w:t>
            </w:r>
          </w:p>
        </w:tc>
        <w:tc>
          <w:tcPr>
            <w:tcW w:w="4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(52,723)</w:t>
            </w:r>
          </w:p>
        </w:tc>
        <w:tc>
          <w:tcPr>
            <w:tcW w:w="60" w:type="dxa"/>
            <w:vAlign w:val="bottom"/>
            <w:tcBorders>
              <w:top w:val="single" w:sz="8" w:color="CCEEFF"/>
              <w:lef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(57,019)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(733,334)</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105,794</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w w:val="99"/>
              </w:rPr>
              <w:t>Share of loss from subsidiaries, consolidated VIE and</w:t>
            </w:r>
          </w:p>
        </w:tc>
        <w:tc>
          <w:tcPr>
            <w:tcW w:w="14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VIE’s subsidiaries </w:t>
            </w:r>
            <w:r>
              <w:rPr>
                <w:rFonts w:ascii="Times New Roman" w:cs="Times New Roman" w:eastAsia="Times New Roman" w:hAnsi="Times New Roman"/>
                <w:sz w:val="20"/>
                <w:szCs w:val="20"/>
                <w:color w:val="auto"/>
                <w:vertAlign w:val="superscript"/>
              </w:rPr>
              <w:t>(3)</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(195,200)</w:t>
            </w:r>
          </w:p>
        </w:tc>
        <w:tc>
          <w:tcPr>
            <w:tcW w:w="140" w:type="dxa"/>
            <w:vAlign w:val="bottom"/>
            <w:tcBorders>
              <w:right w:val="single" w:sz="8" w:color="CCEEFF"/>
            </w:tcBorders>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195,200</w:t>
            </w:r>
          </w:p>
        </w:tc>
        <w:tc>
          <w:tcPr>
            <w:tcW w:w="140" w:type="dxa"/>
            <w:vAlign w:val="bottom"/>
            <w:tcBorders>
              <w:left w:val="single" w:sz="8" w:color="CCEEFF"/>
            </w:tcBorders>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15,024</w:t>
            </w:r>
          </w:p>
        </w:tc>
        <w:tc>
          <w:tcPr>
            <w:tcW w:w="4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19,820</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(193,201)</w:t>
            </w: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(15,743)</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(1,974)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(153,075)</w:t>
            </w:r>
          </w:p>
        </w:tc>
        <w:tc>
          <w:tcPr>
            <w:tcW w:w="100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147,186</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(193,201)</w:t>
            </w:r>
          </w:p>
        </w:tc>
        <w:tc>
          <w:tcPr>
            <w:tcW w:w="4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(15,859)</w:t>
            </w:r>
          </w:p>
        </w:tc>
        <w:tc>
          <w:tcPr>
            <w:tcW w:w="6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(129,349)</w:t>
            </w:r>
          </w:p>
        </w:tc>
        <w:tc>
          <w:tcPr>
            <w:tcW w:w="14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147,186</w:t>
            </w:r>
          </w:p>
        </w:tc>
        <w:tc>
          <w:tcPr>
            <w:tcW w:w="14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3800" w:type="dxa"/>
            <w:vAlign w:val="bottom"/>
            <w:gridSpan w:val="1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Niu</w:t>
            </w: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22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gridSpan w:val="2"/>
            <w:vMerge w:val="restart"/>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WFOE</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VIE and its</w:t>
            </w:r>
          </w:p>
        </w:tc>
        <w:tc>
          <w:tcPr>
            <w:tcW w:w="1000" w:type="dxa"/>
            <w:vAlign w:val="bottom"/>
            <w:tcBorders>
              <w:top w:val="single" w:sz="8" w:color="auto"/>
            </w:tcBorders>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​​​Technologies</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Subsidiaries</w:t>
            </w:r>
          </w:p>
        </w:tc>
        <w:tc>
          <w:tcPr>
            <w:tcW w:w="1000" w:type="dxa"/>
            <w:vAlign w:val="bottom"/>
            <w:gridSpan w:val="3"/>
            <w:vMerge w:val="continue"/>
          </w:tcPr>
          <w:p>
            <w:pPr>
              <w:spacing w:after="0"/>
              <w:rPr>
                <w:sz w:val="15"/>
                <w:szCs w:val="15"/>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60" w:type="dxa"/>
            <w:vAlign w:val="bottom"/>
            <w:gridSpan w:val="4"/>
          </w:tcPr>
          <w:p>
            <w:pPr>
              <w:jc w:val="center"/>
              <w:ind w:right="637"/>
              <w:spacing w:after="0" w:line="104" w:lineRule="exact"/>
              <w:rPr>
                <w:sz w:val="20"/>
                <w:szCs w:val="20"/>
                <w:color w:val="auto"/>
              </w:rPr>
            </w:pPr>
            <w:r>
              <w:rPr>
                <w:rFonts w:ascii="Times New Roman" w:cs="Times New Roman" w:eastAsia="Times New Roman" w:hAnsi="Times New Roman"/>
                <w:sz w:val="12"/>
                <w:szCs w:val="12"/>
                <w:b w:val="1"/>
                <w:bCs w:val="1"/>
                <w:color w:val="auto"/>
              </w:rPr>
              <w:t>RMB</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Revenues </w:t>
            </w:r>
            <w:r>
              <w:rPr>
                <w:rFonts w:ascii="Times New Roman" w:cs="Times New Roman" w:eastAsia="Times New Roman" w:hAnsi="Times New Roman"/>
                <w:sz w:val="25"/>
                <w:szCs w:val="25"/>
                <w:color w:val="auto"/>
                <w:vertAlign w:val="superscript"/>
              </w:rPr>
              <w:t>(4)</w:t>
            </w:r>
          </w:p>
        </w:tc>
        <w:tc>
          <w:tcPr>
            <w:tcW w:w="14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28,543</w:t>
            </w: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53,552</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2,645,570</w:t>
            </w:r>
          </w:p>
        </w:tc>
        <w:tc>
          <w:tcPr>
            <w:tcW w:w="100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(75,907)</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Cost of revenues </w:t>
            </w:r>
            <w:r>
              <w:rPr>
                <w:rFonts w:ascii="Times New Roman" w:cs="Times New Roman" w:eastAsia="Times New Roman" w:hAnsi="Times New Roman"/>
                <w:sz w:val="25"/>
                <w:szCs w:val="25"/>
                <w:color w:val="auto"/>
                <w:vertAlign w:val="superscript"/>
              </w:rPr>
              <w:t>(4)</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(17,183)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(621)</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(2,075,462)</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(2,081,011)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11,360</w:t>
            </w:r>
          </w:p>
        </w:tc>
        <w:tc>
          <w:tcPr>
            <w:tcW w:w="60" w:type="dxa"/>
            <w:vAlign w:val="bottom"/>
            <w:tcBorders>
              <w:top w:val="single" w:sz="8" w:color="CCEEFF"/>
              <w:lef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52,931</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570,108</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(63,652)</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Selling and marketing expenses </w:t>
            </w:r>
            <w:r>
              <w:rPr>
                <w:rFonts w:ascii="Times New Roman" w:cs="Times New Roman" w:eastAsia="Times New Roman" w:hAnsi="Times New Roman"/>
                <w:sz w:val="25"/>
                <w:szCs w:val="25"/>
                <w:color w:val="auto"/>
                <w:vertAlign w:val="superscript"/>
              </w:rPr>
              <w:t>(4)</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(19,242)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(36,693)</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(486,171)</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46,371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Research and development expenses </w:t>
            </w:r>
            <w:r>
              <w:rPr>
                <w:rFonts w:ascii="Times New Roman" w:cs="Times New Roman" w:eastAsia="Times New Roman" w:hAnsi="Times New Roman"/>
                <w:sz w:val="25"/>
                <w:szCs w:val="25"/>
                <w:color w:val="auto"/>
                <w:vertAlign w:val="superscript"/>
              </w:rPr>
              <w:t>(4)</w:t>
            </w:r>
          </w:p>
        </w:tc>
        <w:tc>
          <w:tcPr>
            <w:tcW w:w="14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(20,766)</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(145,968)</w:t>
            </w:r>
          </w:p>
        </w:tc>
        <w:tc>
          <w:tcPr>
            <w:tcW w:w="100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General and administrative expenses </w:t>
            </w:r>
            <w:r>
              <w:rPr>
                <w:rFonts w:ascii="Times New Roman" w:cs="Times New Roman" w:eastAsia="Times New Roman" w:hAnsi="Times New Roman"/>
                <w:sz w:val="25"/>
                <w:szCs w:val="25"/>
                <w:color w:val="auto"/>
                <w:vertAlign w:val="superscript"/>
              </w:rPr>
              <w:t>(4)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(17,739)</w:t>
            </w:r>
          </w:p>
        </w:tc>
        <w:tc>
          <w:tcPr>
            <w:tcW w:w="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(19,551)</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(206,654)</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(17,739)</w:t>
            </w:r>
          </w:p>
        </w:tc>
        <w:tc>
          <w:tcPr>
            <w:tcW w:w="4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(21,550)</w:t>
            </w:r>
          </w:p>
        </w:tc>
        <w:tc>
          <w:tcPr>
            <w:tcW w:w="60" w:type="dxa"/>
            <w:vAlign w:val="bottom"/>
            <w:tcBorders>
              <w:top w:val="single" w:sz="8" w:color="CCEEFF"/>
              <w:lef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(77,010)</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(838,793)</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63,853</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(891,239)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Share of income from subsidiaries, consolidated VIE</w:t>
            </w:r>
          </w:p>
        </w:tc>
        <w:tc>
          <w:tcPr>
            <w:tcW w:w="140" w:type="dxa"/>
            <w:vAlign w:val="bottom"/>
            <w:tcBorders>
              <w:right w:val="single" w:sz="8" w:color="CCEEFF"/>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tcBorders>
              <w:lef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80" w:type="dxa"/>
            <w:vAlign w:val="bottom"/>
            <w:shd w:val="clear" w:color="auto" w:fill="CCEEFF"/>
          </w:tcPr>
          <w:p>
            <w:pPr>
              <w:ind w:left="120"/>
              <w:spacing w:after="0" w:line="242" w:lineRule="exact"/>
              <w:rPr>
                <w:sz w:val="20"/>
                <w:szCs w:val="20"/>
                <w:color w:val="auto"/>
              </w:rPr>
            </w:pPr>
            <w:r>
              <w:rPr>
                <w:rFonts w:ascii="Times New Roman" w:cs="Times New Roman" w:eastAsia="Times New Roman" w:hAnsi="Times New Roman"/>
                <w:sz w:val="18"/>
                <w:szCs w:val="18"/>
                <w:color w:val="auto"/>
              </w:rPr>
              <w:t xml:space="preserve">and VIE’s subsidiaries </w:t>
            </w:r>
            <w:r>
              <w:rPr>
                <w:rFonts w:ascii="Times New Roman" w:cs="Times New Roman" w:eastAsia="Times New Roman" w:hAnsi="Times New Roman"/>
                <w:sz w:val="26"/>
                <w:szCs w:val="26"/>
                <w:color w:val="auto"/>
                <w:vertAlign w:val="superscript"/>
              </w:rPr>
              <w:t>(3)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(270,499)</w:t>
            </w:r>
          </w:p>
        </w:tc>
        <w:tc>
          <w:tcPr>
            <w:tcW w:w="40" w:type="dxa"/>
            <w:vAlign w:val="bottom"/>
            <w:tcBorders>
              <w:lef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270,499</w:t>
            </w:r>
          </w:p>
        </w:tc>
        <w:tc>
          <w:tcPr>
            <w:tcW w:w="140" w:type="dxa"/>
            <w:vAlign w:val="bottom"/>
            <w:tcBorders>
              <w:left w:val="single" w:sz="8" w:color="CCEEFF"/>
            </w:tcBorders>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16,402</w:t>
            </w:r>
          </w:p>
        </w:tc>
        <w:tc>
          <w:tcPr>
            <w:tcW w:w="4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19,081</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(271,836)</w:t>
            </w:r>
          </w:p>
        </w:tc>
        <w:tc>
          <w:tcPr>
            <w:tcW w:w="4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(10,186)</w:t>
            </w:r>
          </w:p>
        </w:tc>
        <w:tc>
          <w:tcPr>
            <w:tcW w:w="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(24,074)</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(246,633)</w:t>
            </w:r>
          </w:p>
        </w:tc>
        <w:tc>
          <w:tcPr>
            <w:tcW w:w="100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270,700</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(271,836)</w:t>
            </w:r>
          </w:p>
        </w:tc>
        <w:tc>
          <w:tcPr>
            <w:tcW w:w="4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(10,184)</w:t>
            </w:r>
          </w:p>
        </w:tc>
        <w:tc>
          <w:tcPr>
            <w:tcW w:w="6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(24,075)</w:t>
            </w:r>
          </w:p>
        </w:tc>
        <w:tc>
          <w:tcPr>
            <w:tcW w:w="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(236,441)</w:t>
            </w:r>
          </w:p>
        </w:tc>
        <w:tc>
          <w:tcPr>
            <w:tcW w:w="14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270,700</w:t>
            </w:r>
          </w:p>
        </w:tc>
        <w:tc>
          <w:tcPr>
            <w:tcW w:w="14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condensed consolidating schedule of financial position for our subsidiaries and the VIE as of the dates presented.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Condensed Consolidating Balance Sheets Information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220" w:type="dxa"/>
            <w:vAlign w:val="bottom"/>
            <w:gridSpan w:val="2"/>
          </w:tcPr>
          <w:p>
            <w:pPr>
              <w:jc w:val="right"/>
              <w:ind w:right="691"/>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3"/>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Borders>
              <w:top w:val="single" w:sz="8" w:color="auto"/>
            </w:tcBorders>
          </w:tcPr>
          <w:p>
            <w:pPr>
              <w:jc w:val="right"/>
              <w:ind w:right="231"/>
              <w:spacing w:after="0" w:line="118" w:lineRule="exact"/>
              <w:rPr>
                <w:sz w:val="20"/>
                <w:szCs w:val="20"/>
                <w:color w:val="auto"/>
              </w:rPr>
            </w:pPr>
            <w:r>
              <w:rPr>
                <w:rFonts w:ascii="Times New Roman" w:cs="Times New Roman" w:eastAsia="Times New Roman" w:hAnsi="Times New Roman"/>
                <w:sz w:val="13"/>
                <w:szCs w:val="13"/>
                <w:b w:val="1"/>
                <w:bCs w:val="1"/>
                <w:color w:val="auto"/>
              </w:rPr>
              <w:t>Niu</w:t>
            </w: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3"/>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700" w:type="dxa"/>
            <w:vAlign w:val="bottom"/>
            <w:tcBorders>
              <w:top w:val="single" w:sz="8" w:color="auto"/>
            </w:tcBorders>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WFOE</w:t>
            </w: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VIE and its</w:t>
            </w:r>
          </w:p>
        </w:tc>
        <w:tc>
          <w:tcPr>
            <w:tcW w:w="110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Eliminations</w:t>
            </w: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​​​Technologies</w:t>
            </w:r>
          </w:p>
        </w:tc>
        <w:tc>
          <w:tcPr>
            <w:tcW w:w="11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​​​Subsidiaries ​​​</w:t>
            </w:r>
          </w:p>
        </w:tc>
        <w:tc>
          <w:tcPr>
            <w:tcW w:w="700" w:type="dxa"/>
            <w:vAlign w:val="bottom"/>
            <w:vMerge w:val="continue"/>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100" w:type="dxa"/>
            <w:vAlign w:val="bottom"/>
            <w:gridSpan w:val="3"/>
            <w:vMerge w:val="continue"/>
          </w:tcPr>
          <w:p>
            <w:pPr>
              <w:spacing w:after="0"/>
              <w:rPr>
                <w:sz w:val="15"/>
                <w:szCs w:val="15"/>
                <w:color w:val="auto"/>
              </w:rPr>
            </w:pPr>
          </w:p>
        </w:tc>
        <w:tc>
          <w:tcPr>
            <w:tcW w:w="960" w:type="dxa"/>
            <w:vAlign w:val="bottom"/>
            <w:gridSpan w:val="2"/>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   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60" w:type="dxa"/>
            <w:vAlign w:val="bottom"/>
            <w:gridSpan w:val="2"/>
          </w:tcPr>
          <w:p>
            <w:pPr>
              <w:jc w:val="center"/>
              <w:ind w:right="492"/>
              <w:spacing w:after="0" w:line="104" w:lineRule="exact"/>
              <w:rPr>
                <w:sz w:val="20"/>
                <w:szCs w:val="20"/>
                <w:color w:val="auto"/>
              </w:rPr>
            </w:pPr>
            <w:r>
              <w:rPr>
                <w:rFonts w:ascii="Times New Roman" w:cs="Times New Roman" w:eastAsia="Times New Roman" w:hAnsi="Times New Roman"/>
                <w:sz w:val="12"/>
                <w:szCs w:val="12"/>
                <w:b w:val="1"/>
                <w:bCs w:val="1"/>
                <w:color w:val="auto"/>
              </w:rPr>
              <w:t>RMB</w:t>
            </w: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3"/>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0" w:type="dxa"/>
            <w:vAlign w:val="bottom"/>
            <w:vMerge w:val="restart"/>
          </w:tcPr>
          <w:p>
            <w:pPr>
              <w:spacing w:after="0"/>
              <w:rPr>
                <w:sz w:val="10"/>
                <w:szCs w:val="10"/>
                <w:color w:val="auto"/>
              </w:rPr>
            </w:pPr>
          </w:p>
        </w:tc>
        <w:tc>
          <w:tcPr>
            <w:tcW w:w="3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758,888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Term deposits</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114,178</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210,864</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20,127</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Inventories </w:t>
            </w:r>
            <w:r>
              <w:rPr>
                <w:rFonts w:ascii="Times New Roman" w:cs="Times New Roman" w:eastAsia="Times New Roman" w:hAnsi="Times New Roman"/>
                <w:sz w:val="25"/>
                <w:szCs w:val="25"/>
                <w:color w:val="auto"/>
                <w:vertAlign w:val="superscript"/>
              </w:rPr>
              <w:t>(1)</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200,658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524,264</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(72,342)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Amounts due from inter-companies </w:t>
            </w:r>
            <w:r>
              <w:rPr>
                <w:rFonts w:ascii="Times New Roman" w:cs="Times New Roman" w:eastAsia="Times New Roman" w:hAnsi="Times New Roman"/>
                <w:sz w:val="25"/>
                <w:szCs w:val="25"/>
                <w:color w:val="auto"/>
                <w:vertAlign w:val="superscript"/>
              </w:rPr>
              <w:t>(2)</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337,292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317,093</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(833,040)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10,498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304,441</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343,536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270,013</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538,105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399,079</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2,058,172</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(905,382)</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2,359,987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418,501</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70,360</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75,954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Investment in and amount due from subsidiaries,</w:t>
            </w: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20" w:type="dxa"/>
            <w:vAlign w:val="bottom"/>
            <w:shd w:val="clear" w:color="auto" w:fill="CCEEFF"/>
          </w:tcPr>
          <w:p>
            <w:pPr>
              <w:ind w:left="120"/>
              <w:spacing w:after="0" w:line="242" w:lineRule="exact"/>
              <w:rPr>
                <w:sz w:val="20"/>
                <w:szCs w:val="20"/>
                <w:color w:val="auto"/>
              </w:rPr>
            </w:pPr>
            <w:r>
              <w:rPr>
                <w:rFonts w:ascii="Times New Roman" w:cs="Times New Roman" w:eastAsia="Times New Roman" w:hAnsi="Times New Roman"/>
                <w:sz w:val="18"/>
                <w:szCs w:val="18"/>
                <w:color w:val="auto"/>
              </w:rPr>
              <w:t xml:space="preserve">consolidated VIE and VIE’s subsidiaries </w:t>
            </w:r>
            <w:r>
              <w:rPr>
                <w:rFonts w:ascii="Times New Roman" w:cs="Times New Roman" w:eastAsia="Times New Roman" w:hAnsi="Times New Roman"/>
                <w:sz w:val="26"/>
                <w:szCs w:val="26"/>
                <w:color w:val="auto"/>
                <w:vertAlign w:val="superscript"/>
              </w:rPr>
              <w:t>(2)(3)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642,812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219,317</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(862,129)</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56,204</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40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642,812</w:t>
            </w:r>
          </w:p>
        </w:tc>
        <w:tc>
          <w:tcPr>
            <w:tcW w:w="14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222,654</w:t>
            </w:r>
          </w:p>
        </w:tc>
        <w:tc>
          <w:tcPr>
            <w:tcW w:w="1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8,578</w:t>
            </w:r>
          </w:p>
        </w:tc>
        <w:tc>
          <w:tcPr>
            <w:tcW w:w="1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578,434</w:t>
            </w:r>
          </w:p>
        </w:tc>
        <w:tc>
          <w:tcPr>
            <w:tcW w:w="1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(862,129)</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590,349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912,825</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760,759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407,657</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2,636,606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(1,767,511)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2,950,336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Short-term bank borrowings</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394,286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670,749</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704,089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Advances from customers</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174,904</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revenue—current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Amounts due to inter-companies </w:t>
            </w:r>
            <w:r>
              <w:rPr>
                <w:rFonts w:ascii="Times New Roman" w:cs="Times New Roman" w:eastAsia="Times New Roman" w:hAnsi="Times New Roman"/>
                <w:sz w:val="25"/>
                <w:szCs w:val="25"/>
                <w:color w:val="auto"/>
                <w:vertAlign w:val="superscript"/>
              </w:rPr>
              <w:t>(2)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311,954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506,661</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(823,145)</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382,533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4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7,894</w:t>
            </w:r>
          </w:p>
        </w:tc>
        <w:tc>
          <w:tcPr>
            <w:tcW w:w="1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362,328</w:t>
            </w: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10,840</w:t>
            </w:r>
          </w:p>
        </w:tc>
        <w:tc>
          <w:tcPr>
            <w:tcW w:w="1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2,445,215</w:t>
            </w:r>
          </w:p>
        </w:tc>
        <w:tc>
          <w:tcPr>
            <w:tcW w:w="1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(823,145)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2,003,132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revenue—non-current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12,942</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Amounts due to inter-companies </w:t>
            </w:r>
            <w:r>
              <w:rPr>
                <w:rFonts w:ascii="Times New Roman" w:cs="Times New Roman" w:eastAsia="Times New Roman" w:hAnsi="Times New Roman"/>
                <w:sz w:val="25"/>
                <w:szCs w:val="25"/>
                <w:color w:val="auto"/>
                <w:vertAlign w:val="superscript"/>
              </w:rPr>
              <w:t>(2)</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(276,685)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40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276,685</w:t>
            </w:r>
          </w:p>
        </w:tc>
        <w:tc>
          <w:tcPr>
            <w:tcW w:w="1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2,980</w:t>
            </w:r>
          </w:p>
        </w:tc>
        <w:tc>
          <w:tcPr>
            <w:tcW w:w="1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39,293</w:t>
            </w:r>
          </w:p>
        </w:tc>
        <w:tc>
          <w:tcPr>
            <w:tcW w:w="1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(276,685)</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7,894</w:t>
            </w:r>
          </w:p>
        </w:tc>
        <w:tc>
          <w:tcPr>
            <w:tcW w:w="1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639,013</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13,820</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2,484,508</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(1,099,830)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2,045,405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4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904,931</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121,746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393,837</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152,098</w:t>
            </w: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(667,681)</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904,931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912,825</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760,759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407,657</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2,636,606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(1,767,511)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2,950,336</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3"/>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Borders>
              <w:top w:val="single" w:sz="8" w:color="auto"/>
            </w:tcBorders>
          </w:tcPr>
          <w:p>
            <w:pPr>
              <w:jc w:val="right"/>
              <w:ind w:right="231"/>
              <w:spacing w:after="0" w:line="118" w:lineRule="exact"/>
              <w:rPr>
                <w:sz w:val="20"/>
                <w:szCs w:val="20"/>
                <w:color w:val="auto"/>
              </w:rPr>
            </w:pPr>
            <w:r>
              <w:rPr>
                <w:rFonts w:ascii="Times New Roman" w:cs="Times New Roman" w:eastAsia="Times New Roman" w:hAnsi="Times New Roman"/>
                <w:sz w:val="13"/>
                <w:szCs w:val="13"/>
                <w:b w:val="1"/>
                <w:bCs w:val="1"/>
                <w:color w:val="auto"/>
              </w:rPr>
              <w:t>Niu</w:t>
            </w: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680" w:type="dxa"/>
            <w:vAlign w:val="bottom"/>
            <w:tcBorders>
              <w:top w:val="single" w:sz="8" w:color="auto"/>
            </w:tcBorders>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WFOE</w:t>
            </w: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VIE and its</w:t>
            </w:r>
          </w:p>
        </w:tc>
        <w:tc>
          <w:tcPr>
            <w:tcW w:w="1080" w:type="dxa"/>
            <w:vAlign w:val="bottom"/>
            <w:tcBorders>
              <w:top w:val="single" w:sz="8" w:color="auto"/>
            </w:tcBorders>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Eliminations</w:t>
            </w: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​​​Technologies</w:t>
            </w:r>
          </w:p>
        </w:tc>
        <w:tc>
          <w:tcPr>
            <w:tcW w:w="11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​​​Subsidiaries ​​​</w:t>
            </w:r>
          </w:p>
        </w:tc>
        <w:tc>
          <w:tcPr>
            <w:tcW w:w="680" w:type="dxa"/>
            <w:vAlign w:val="bottom"/>
            <w:vMerge w:val="continue"/>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80" w:type="dxa"/>
            <w:vAlign w:val="bottom"/>
            <w:gridSpan w:val="3"/>
            <w:vMerge w:val="continue"/>
          </w:tcPr>
          <w:p>
            <w:pPr>
              <w:spacing w:after="0"/>
              <w:rPr>
                <w:sz w:val="15"/>
                <w:szCs w:val="15"/>
                <w:color w:val="auto"/>
              </w:rPr>
            </w:pPr>
          </w:p>
        </w:tc>
        <w:tc>
          <w:tcPr>
            <w:tcW w:w="980" w:type="dxa"/>
            <w:vAlign w:val="bottom"/>
            <w:gridSpan w:val="2"/>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   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80" w:type="dxa"/>
            <w:vAlign w:val="bottom"/>
            <w:gridSpan w:val="2"/>
          </w:tcPr>
          <w:p>
            <w:pPr>
              <w:jc w:val="center"/>
              <w:ind w:right="472"/>
              <w:spacing w:after="0" w:line="104" w:lineRule="exact"/>
              <w:rPr>
                <w:sz w:val="20"/>
                <w:szCs w:val="20"/>
                <w:color w:val="auto"/>
              </w:rPr>
            </w:pPr>
            <w:r>
              <w:rPr>
                <w:rFonts w:ascii="Times New Roman" w:cs="Times New Roman" w:eastAsia="Times New Roman" w:hAnsi="Times New Roman"/>
                <w:sz w:val="12"/>
                <w:szCs w:val="12"/>
                <w:b w:val="1"/>
                <w:bCs w:val="1"/>
                <w:color w:val="auto"/>
              </w:rPr>
              <w:t>RMB</w:t>
            </w: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3"/>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3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543,298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Term deposits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68,290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71,884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134,178</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215,652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117,004</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Inventories </w:t>
            </w:r>
            <w:r>
              <w:rPr>
                <w:rFonts w:ascii="Times New Roman" w:cs="Times New Roman" w:eastAsia="Times New Roman" w:hAnsi="Times New Roman"/>
                <w:sz w:val="25"/>
                <w:szCs w:val="25"/>
                <w:color w:val="auto"/>
                <w:vertAlign w:val="superscript"/>
              </w:rPr>
              <w:t>(1)</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582,025</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(48,775)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Amounts due from inter-companies </w:t>
            </w:r>
            <w:r>
              <w:rPr>
                <w:rFonts w:ascii="Times New Roman" w:cs="Times New Roman" w:eastAsia="Times New Roman" w:hAnsi="Times New Roman"/>
                <w:sz w:val="25"/>
                <w:szCs w:val="25"/>
                <w:color w:val="auto"/>
                <w:vertAlign w:val="superscript"/>
              </w:rPr>
              <w:t>(2)</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131,202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372,533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213,868</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(717,603)</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234,385</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337,902</w:t>
            </w:r>
          </w:p>
        </w:tc>
        <w:tc>
          <w:tcPr>
            <w:tcW w:w="14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373,877</w:t>
            </w: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399,271</w:t>
            </w:r>
          </w:p>
        </w:tc>
        <w:tc>
          <w:tcPr>
            <w:tcW w:w="14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1,825,134</w:t>
            </w:r>
          </w:p>
        </w:tc>
        <w:tc>
          <w:tcPr>
            <w:tcW w:w="1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(766,378)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2,169,806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318,531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Investment in and amount due from subsidiaries,</w:t>
            </w: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40" w:type="dxa"/>
            <w:vAlign w:val="bottom"/>
          </w:tcPr>
          <w:p>
            <w:pPr>
              <w:ind w:left="120"/>
              <w:spacing w:after="0" w:line="242" w:lineRule="exact"/>
              <w:rPr>
                <w:sz w:val="20"/>
                <w:szCs w:val="20"/>
                <w:color w:val="auto"/>
              </w:rPr>
            </w:pPr>
            <w:r>
              <w:rPr>
                <w:rFonts w:ascii="Times New Roman" w:cs="Times New Roman" w:eastAsia="Times New Roman" w:hAnsi="Times New Roman"/>
                <w:sz w:val="18"/>
                <w:szCs w:val="18"/>
                <w:color w:val="auto"/>
              </w:rPr>
              <w:t xml:space="preserve">consolidated VIE and VIE’s subsidiaries </w:t>
            </w:r>
            <w:r>
              <w:rPr>
                <w:rFonts w:ascii="Times New Roman" w:cs="Times New Roman" w:eastAsia="Times New Roman" w:hAnsi="Times New Roman"/>
                <w:sz w:val="26"/>
                <w:szCs w:val="26"/>
                <w:color w:val="auto"/>
                <w:vertAlign w:val="superscript"/>
              </w:rPr>
              <w:t>(2)(3)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600,596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219,317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(819,913)</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19,309</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600,596</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219,493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1,473</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441,703</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(819,913)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443,352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938,498</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593,370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400,744</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2,266,837</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(1,586,291)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2,613,158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bank borrowings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294,349</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856,558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from customers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revenue—current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50,247</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Amounts due to inter-companies </w:t>
            </w:r>
            <w:r>
              <w:rPr>
                <w:rFonts w:ascii="Times New Roman" w:cs="Times New Roman" w:eastAsia="Times New Roman" w:hAnsi="Times New Roman"/>
                <w:sz w:val="25"/>
                <w:szCs w:val="25"/>
                <w:color w:val="auto"/>
                <w:vertAlign w:val="superscript"/>
              </w:rPr>
              <w:t>(2)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492,542</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(707,465)</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192,471</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201,356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7,216</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227,968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4,514</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2,119,699</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(707,465)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1,651,932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revenue—non-current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16,887</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Amounts due to inter-companies </w:t>
            </w:r>
            <w:r>
              <w:rPr>
                <w:rFonts w:ascii="Times New Roman" w:cs="Times New Roman" w:eastAsia="Times New Roman" w:hAnsi="Times New Roman"/>
                <w:sz w:val="25"/>
                <w:szCs w:val="25"/>
                <w:color w:val="auto"/>
                <w:vertAlign w:val="superscript"/>
              </w:rPr>
              <w:t>(2)</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226,159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(226,159)</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226,159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29,944</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(226,159)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7,216</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454,127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4,514</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2,149,643</w:t>
            </w: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(933,624)</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1,681,876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4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931,282</w:t>
            </w:r>
          </w:p>
        </w:tc>
        <w:tc>
          <w:tcPr>
            <w:tcW w:w="1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139,243</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396,230</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117,194</w:t>
            </w:r>
          </w:p>
        </w:tc>
        <w:tc>
          <w:tcPr>
            <w:tcW w:w="1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(652,667)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931,282</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938,498</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593,370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400,744</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2,266,837</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(1,586,291)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2,613,158</w:t>
            </w:r>
          </w:p>
        </w:tc>
        <w:tc>
          <w:tcPr>
            <w:tcW w:w="0" w:type="dxa"/>
            <w:vAlign w:val="bottom"/>
          </w:tcPr>
          <w:p>
            <w:pPr>
              <w:spacing w:after="0"/>
              <w:rPr>
                <w:sz w:val="1"/>
                <w:szCs w:val="1"/>
                <w:color w:val="auto"/>
              </w:rPr>
            </w:pPr>
          </w:p>
        </w:tc>
      </w:tr>
    </w:tbl>
    <w:p>
      <w:pPr>
        <w:spacing w:after="0" w:line="3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condensed consolidating schedule of cash flow data for our subsidiaries and the VIE for the years ended presented.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Condensed Consolidating Cash Flows Information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4100" w:type="dxa"/>
            <w:vAlign w:val="bottom"/>
            <w:gridSpan w:val="11"/>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Borders>
              <w:top w:val="single" w:sz="8" w:color="auto"/>
            </w:tcBorders>
            <w:gridSpan w:val="2"/>
          </w:tcPr>
          <w:p>
            <w:pPr>
              <w:ind w:left="300"/>
              <w:spacing w:after="0" w:line="118" w:lineRule="exact"/>
              <w:rPr>
                <w:sz w:val="20"/>
                <w:szCs w:val="20"/>
                <w:color w:val="auto"/>
              </w:rPr>
            </w:pPr>
            <w:r>
              <w:rPr>
                <w:rFonts w:ascii="Times New Roman" w:cs="Times New Roman" w:eastAsia="Times New Roman" w:hAnsi="Times New Roman"/>
                <w:sz w:val="13"/>
                <w:szCs w:val="13"/>
                <w:b w:val="1"/>
                <w:bCs w:val="1"/>
                <w:color w:val="auto"/>
              </w:rPr>
              <w:t>Niu</w:t>
            </w: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ind w:left="26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80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WFOE</w:t>
            </w: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VIE and its</w:t>
            </w:r>
          </w:p>
        </w:tc>
        <w:tc>
          <w:tcPr>
            <w:tcW w:w="106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Eliminations</w:t>
            </w:r>
          </w:p>
        </w:tc>
        <w:tc>
          <w:tcPr>
            <w:tcW w:w="16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Technologies</w:t>
            </w: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 Subsidiaries  ​​​</w:t>
            </w:r>
          </w:p>
        </w:tc>
        <w:tc>
          <w:tcPr>
            <w:tcW w:w="800" w:type="dxa"/>
            <w:vAlign w:val="bottom"/>
            <w:gridSpan w:val="2"/>
            <w:vMerge w:val="continue"/>
          </w:tcPr>
          <w:p>
            <w:pPr>
              <w:spacing w:after="0"/>
              <w:rPr>
                <w:sz w:val="15"/>
                <w:szCs w:val="15"/>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Subsidiaries</w:t>
            </w:r>
          </w:p>
        </w:tc>
        <w:tc>
          <w:tcPr>
            <w:tcW w:w="1060" w:type="dxa"/>
            <w:vAlign w:val="bottom"/>
            <w:gridSpan w:val="3"/>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gridSpan w:val="4"/>
          </w:tcPr>
          <w:p>
            <w:pPr>
              <w:jc w:val="center"/>
              <w:spacing w:after="0" w:line="104" w:lineRule="exact"/>
              <w:rPr>
                <w:sz w:val="20"/>
                <w:szCs w:val="20"/>
                <w:color w:val="auto"/>
              </w:rPr>
            </w:pPr>
            <w:r>
              <w:rPr>
                <w:rFonts w:ascii="Times New Roman" w:cs="Times New Roman" w:eastAsia="Times New Roman" w:hAnsi="Times New Roman"/>
                <w:sz w:val="12"/>
                <w:szCs w:val="12"/>
                <w:b w:val="1"/>
                <w:bCs w:val="1"/>
                <w:color w:val="auto"/>
              </w:rPr>
              <w:t>RMB</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3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5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cash provided by (used in) operating</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1,448</w:t>
            </w:r>
          </w:p>
        </w:tc>
        <w:tc>
          <w:tcPr>
            <w:tcW w:w="4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(38,989)</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35,762</w:t>
            </w:r>
          </w:p>
        </w:tc>
        <w:tc>
          <w:tcPr>
            <w:tcW w:w="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343,485</w:t>
            </w:r>
          </w:p>
        </w:tc>
        <w:tc>
          <w:tcPr>
            <w:tcW w:w="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11,564</w:t>
            </w:r>
          </w:p>
        </w:tc>
        <w:tc>
          <w:tcPr>
            <w:tcW w:w="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353,270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paid for purchase of property, plant and</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equipment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(717)</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(177,092)</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purchase of term deposits</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(50,008)</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 from redemption of term deposits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67,868</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purchase of short-term investments</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(85,728)</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(3,349,950)</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received from sale of short-term</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3,334,694</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3,377,866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Other investing activities</w:t>
            </w:r>
            <w:r>
              <w:rPr>
                <w:rFonts w:ascii="Times New Roman" w:cs="Times New Roman" w:eastAsia="Times New Roman" w:hAnsi="Times New Roman"/>
                <w:sz w:val="25"/>
                <w:szCs w:val="25"/>
                <w:color w:val="auto"/>
                <w:vertAlign w:val="superscript"/>
              </w:rPr>
              <w:t>(5)</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(60,224)</w:t>
            </w:r>
          </w:p>
        </w:tc>
        <w:tc>
          <w:tcPr>
            <w:tcW w:w="14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60,224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cash provided by (used in) investing</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7,644</w:t>
            </w:r>
          </w:p>
        </w:tc>
        <w:tc>
          <w:tcPr>
            <w:tcW w:w="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14,596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(717)</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(172,348)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60,224</w:t>
            </w:r>
          </w:p>
        </w:tc>
        <w:tc>
          <w:tcPr>
            <w:tcW w:w="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(90,601)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received from exercise of employee stock</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short-term bank borrowings</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for short-term bank borrowings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(200,000)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Other financing activities</w:t>
            </w:r>
            <w:r>
              <w:rPr>
                <w:rFonts w:ascii="Times New Roman" w:cs="Times New Roman" w:eastAsia="Times New Roman" w:hAnsi="Times New Roman"/>
                <w:sz w:val="25"/>
                <w:szCs w:val="25"/>
                <w:color w:val="auto"/>
                <w:vertAlign w:val="superscript"/>
              </w:rPr>
              <w:t>(5)</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(60,224)</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40,000</w:t>
            </w:r>
          </w:p>
        </w:tc>
        <w:tc>
          <w:tcPr>
            <w:tcW w:w="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(60,224)</w:t>
            </w:r>
          </w:p>
        </w:tc>
        <w:tc>
          <w:tcPr>
            <w:tcW w:w="16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foreign currency exchange rate changes</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 cash, cash equivalents and restricted cash</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(5,836)</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4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(11,564)</w:t>
            </w:r>
          </w:p>
        </w:tc>
        <w:tc>
          <w:tcPr>
            <w:tcW w:w="1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(13,649)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increase in cash, cash equivalents and</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3,421</w:t>
            </w:r>
          </w:p>
        </w:tc>
        <w:tc>
          <w:tcPr>
            <w:tcW w:w="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35,505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35,045</w:t>
            </w:r>
          </w:p>
        </w:tc>
        <w:tc>
          <w:tcPr>
            <w:tcW w:w="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215,214</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289,185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cash equivalents and restricted cash at the</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256,094</w:t>
            </w:r>
          </w:p>
        </w:tc>
        <w:tc>
          <w:tcPr>
            <w:tcW w:w="40" w:type="dxa"/>
            <w:vAlign w:val="bottom"/>
          </w:tcPr>
          <w:p>
            <w:pPr>
              <w:spacing w:after="0"/>
              <w:rPr>
                <w:sz w:val="17"/>
                <w:szCs w:val="17"/>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20,655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25,994</w:t>
            </w:r>
          </w:p>
        </w:tc>
        <w:tc>
          <w:tcPr>
            <w:tcW w:w="40" w:type="dxa"/>
            <w:vAlign w:val="bottom"/>
          </w:tcPr>
          <w:p>
            <w:pPr>
              <w:spacing w:after="0"/>
              <w:rPr>
                <w:sz w:val="17"/>
                <w:szCs w:val="17"/>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543,674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846,417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beginning of the year</w:t>
            </w:r>
          </w:p>
        </w:tc>
        <w:tc>
          <w:tcPr>
            <w:tcW w:w="100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at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the end of the year</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259,515</w:t>
            </w:r>
          </w:p>
        </w:tc>
        <w:tc>
          <w:tcPr>
            <w:tcW w:w="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56,160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61,039</w:t>
            </w:r>
          </w:p>
        </w:tc>
        <w:tc>
          <w:tcPr>
            <w:tcW w:w="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758,888</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1,135,602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2"/>
          </w:tcPr>
          <w:p>
            <w:pPr>
              <w:jc w:val="right"/>
              <w:ind w:right="516"/>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4100" w:type="dxa"/>
            <w:vAlign w:val="bottom"/>
            <w:gridSpan w:val="11"/>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Borders>
              <w:top w:val="single" w:sz="8" w:color="auto"/>
            </w:tcBorders>
            <w:gridSpan w:val="2"/>
          </w:tcPr>
          <w:p>
            <w:pPr>
              <w:ind w:left="300"/>
              <w:spacing w:after="0" w:line="118" w:lineRule="exact"/>
              <w:rPr>
                <w:sz w:val="20"/>
                <w:szCs w:val="20"/>
                <w:color w:val="auto"/>
              </w:rPr>
            </w:pPr>
            <w:r>
              <w:rPr>
                <w:rFonts w:ascii="Times New Roman" w:cs="Times New Roman" w:eastAsia="Times New Roman" w:hAnsi="Times New Roman"/>
                <w:sz w:val="13"/>
                <w:szCs w:val="13"/>
                <w:b w:val="1"/>
                <w:bCs w:val="1"/>
                <w:color w:val="auto"/>
              </w:rPr>
              <w:t>Niu</w:t>
            </w: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ind w:left="26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80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WFOE</w:t>
            </w: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VIE and its</w:t>
            </w:r>
          </w:p>
        </w:tc>
        <w:tc>
          <w:tcPr>
            <w:tcW w:w="106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Eliminations</w:t>
            </w:r>
          </w:p>
        </w:tc>
        <w:tc>
          <w:tcPr>
            <w:tcW w:w="16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Technologies</w:t>
            </w: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 Subsidiaries  ​​​</w:t>
            </w:r>
          </w:p>
        </w:tc>
        <w:tc>
          <w:tcPr>
            <w:tcW w:w="800" w:type="dxa"/>
            <w:vAlign w:val="bottom"/>
            <w:gridSpan w:val="2"/>
            <w:vMerge w:val="continue"/>
          </w:tcPr>
          <w:p>
            <w:pPr>
              <w:spacing w:after="0"/>
              <w:rPr>
                <w:sz w:val="15"/>
                <w:szCs w:val="15"/>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Subsidiaries</w:t>
            </w:r>
          </w:p>
        </w:tc>
        <w:tc>
          <w:tcPr>
            <w:tcW w:w="1060" w:type="dxa"/>
            <w:vAlign w:val="bottom"/>
            <w:gridSpan w:val="3"/>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gridSpan w:val="4"/>
          </w:tcPr>
          <w:p>
            <w:pPr>
              <w:jc w:val="center"/>
              <w:spacing w:after="0" w:line="104" w:lineRule="exact"/>
              <w:rPr>
                <w:sz w:val="20"/>
                <w:szCs w:val="20"/>
                <w:color w:val="auto"/>
              </w:rPr>
            </w:pPr>
            <w:r>
              <w:rPr>
                <w:rFonts w:ascii="Times New Roman" w:cs="Times New Roman" w:eastAsia="Times New Roman" w:hAnsi="Times New Roman"/>
                <w:sz w:val="12"/>
                <w:szCs w:val="12"/>
                <w:b w:val="1"/>
                <w:bCs w:val="1"/>
                <w:color w:val="auto"/>
              </w:rPr>
              <w:t>RMB</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5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cash (used in) provided by operating</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(177)</w:t>
            </w: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(21,089)</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21,041</w:t>
            </w:r>
          </w:p>
        </w:tc>
        <w:tc>
          <w:tcPr>
            <w:tcW w:w="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51,396</w:t>
            </w:r>
          </w:p>
        </w:tc>
        <w:tc>
          <w:tcPr>
            <w:tcW w:w="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1,116</w:t>
            </w:r>
          </w:p>
        </w:tc>
        <w:tc>
          <w:tcPr>
            <w:tcW w:w="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paid for purchase of property, plant and</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equipment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(119,573)</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purchase of term deposits</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(138,805)</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(106,773)</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(134,178)</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 from redemption of term deposits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149,126</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purchase of short-term investments</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(7,830)</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(2,038,000)</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(2,045,830)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received from sale of short-term</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2,040,301</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2,048,189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(100,011)</w:t>
            </w:r>
          </w:p>
        </w:tc>
        <w:tc>
          <w:tcPr>
            <w:tcW w:w="14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100,011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(89,690)</w:t>
            </w: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(71,131)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(169)</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(231,450)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100,011</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(292,429)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received from exercise of employee stock</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short-term bank borrowings</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for short-term bank borrowings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Other financing activities</w:t>
            </w:r>
            <w:r>
              <w:rPr>
                <w:rFonts w:ascii="Times New Roman" w:cs="Times New Roman" w:eastAsia="Times New Roman" w:hAnsi="Times New Roman"/>
                <w:sz w:val="25"/>
                <w:szCs w:val="25"/>
                <w:color w:val="auto"/>
                <w:vertAlign w:val="superscript"/>
              </w:rPr>
              <w:t>(5)</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(100,011)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(100,011)</w:t>
            </w:r>
          </w:p>
        </w:tc>
        <w:tc>
          <w:tcPr>
            <w:tcW w:w="16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foreign currency exchange rate changes</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 cash, cash equivalents and restricted cash</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40" w:type="dxa"/>
            <w:vAlign w:val="bottom"/>
          </w:tcPr>
          <w:p>
            <w:pPr>
              <w:spacing w:after="0"/>
              <w:rPr>
                <w:sz w:val="20"/>
                <w:szCs w:val="20"/>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4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(1,116)</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(decrease) increase in cash, cash</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equivalents and restricted cash</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(85,387)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20,872</w:t>
            </w:r>
          </w:p>
        </w:tc>
        <w:tc>
          <w:tcPr>
            <w:tcW w:w="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(76,956)</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(133,823)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cash equivalents and restricted cash at the</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341,481</w:t>
            </w:r>
          </w:p>
        </w:tc>
        <w:tc>
          <w:tcPr>
            <w:tcW w:w="40" w:type="dxa"/>
            <w:vAlign w:val="bottom"/>
          </w:tcPr>
          <w:p>
            <w:pPr>
              <w:spacing w:after="0"/>
              <w:rPr>
                <w:sz w:val="17"/>
                <w:szCs w:val="17"/>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13,007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5,122</w:t>
            </w:r>
          </w:p>
        </w:tc>
        <w:tc>
          <w:tcPr>
            <w:tcW w:w="40" w:type="dxa"/>
            <w:vAlign w:val="bottom"/>
          </w:tcPr>
          <w:p>
            <w:pPr>
              <w:spacing w:after="0"/>
              <w:rPr>
                <w:sz w:val="17"/>
                <w:szCs w:val="17"/>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620,630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980,240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beginning of the year</w:t>
            </w:r>
          </w:p>
        </w:tc>
        <w:tc>
          <w:tcPr>
            <w:tcW w:w="100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at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the end of the year</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256,094</w:t>
            </w:r>
          </w:p>
        </w:tc>
        <w:tc>
          <w:tcPr>
            <w:tcW w:w="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20,655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25,994</w:t>
            </w:r>
          </w:p>
        </w:tc>
        <w:tc>
          <w:tcPr>
            <w:tcW w:w="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543,674</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846,417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2"/>
          </w:tcPr>
          <w:p>
            <w:pPr>
              <w:jc w:val="right"/>
              <w:ind w:right="517"/>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7"/>
          </w:tcPr>
          <w:p>
            <w:pPr>
              <w:jc w:val="center"/>
              <w:ind w:left="553"/>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0" w:type="dxa"/>
            <w:vAlign w:val="bottom"/>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Niu</w:t>
            </w:r>
          </w:p>
        </w:tc>
        <w:tc>
          <w:tcPr>
            <w:tcW w:w="1100" w:type="dxa"/>
            <w:vAlign w:val="bottom"/>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gridSpan w:val="3"/>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VIE and its</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Technologies  ​​​</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Subsidiaries  ​​​</w:t>
            </w:r>
          </w:p>
        </w:tc>
        <w:tc>
          <w:tcPr>
            <w:tcW w:w="304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WFOE  ​​​  Subsidiaries  ​​​  Eliminations  ​​​</w:t>
            </w: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top w:val="single" w:sz="8" w:color="auto"/>
            </w:tcBorders>
          </w:tcPr>
          <w:p>
            <w:pPr>
              <w:jc w:val="right"/>
              <w:ind w:right="540"/>
              <w:spacing w:after="0" w:line="104" w:lineRule="exact"/>
              <w:rPr>
                <w:sz w:val="20"/>
                <w:szCs w:val="20"/>
                <w:color w:val="auto"/>
              </w:rPr>
            </w:pPr>
            <w:r>
              <w:rPr>
                <w:rFonts w:ascii="Times New Roman" w:cs="Times New Roman" w:eastAsia="Times New Roman" w:hAnsi="Times New Roman"/>
                <w:sz w:val="12"/>
                <w:szCs w:val="12"/>
                <w:b w:val="1"/>
                <w:bCs w:val="1"/>
                <w:color w:val="auto"/>
                <w:w w:val="92"/>
              </w:rPr>
              <w:t>RMB</w:t>
            </w:r>
          </w:p>
        </w:tc>
        <w:tc>
          <w:tcPr>
            <w:tcW w:w="24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6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cash provided by (used in) operating</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14,393</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(19,986)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93,729</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93,735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paid for purchase of property, plant and</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equipment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(78,924)</w:t>
            </w:r>
          </w:p>
        </w:tc>
        <w:tc>
          <w:tcPr>
            <w:tcW w:w="3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purchase of term deposits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(379,419)</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received from redemption of term</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deposits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513,238</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Cash paid for purchase of short-term</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(420,000)</w:t>
            </w:r>
          </w:p>
        </w:tc>
        <w:tc>
          <w:tcPr>
            <w:tcW w:w="340" w:type="dxa"/>
            <w:vAlign w:val="bottom"/>
          </w:tcPr>
          <w:p>
            <w:pPr>
              <w:spacing w:after="0"/>
              <w:rPr>
                <w:sz w:val="20"/>
                <w:szCs w:val="20"/>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received from sale of short-term</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581,426</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cash provided by (used in) investing</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133,819</w:t>
            </w:r>
          </w:p>
        </w:tc>
        <w:tc>
          <w:tcPr>
            <w:tcW w:w="2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82,502</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216,310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Cash received from exercise of employee stock</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2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short-term bank borrowings</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for short-term bank borrowings</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(160,000)</w:t>
            </w:r>
          </w:p>
        </w:tc>
        <w:tc>
          <w:tcPr>
            <w:tcW w:w="3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cash provided by (used in) financing</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654</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(60,000)</w:t>
            </w:r>
          </w:p>
        </w:tc>
        <w:tc>
          <w:tcPr>
            <w:tcW w:w="3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Effect of foreign currency exchange rate</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changes on cash, cash equivalents and</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increase (decrease) in cash, cash</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equivalents and restricted cash</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152,901</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(19,082)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120,830</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259,613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Cash, cash equivalents and restricted cash at</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beginning of the year</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188,580</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32,089</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499,800</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at</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the end of the year</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341,481</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13,007</w:t>
            </w: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5,122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620,630</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980,240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elimination represents the unrealized profit from inter-company sales.</w:t>
      </w:r>
    </w:p>
    <w:p>
      <w:pPr>
        <w:spacing w:after="0" w:line="163"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elimination represents the inter-company balances among our company, our WFOE, other subsidiaries of our company and the VIE and its subsidiaries.</w:t>
      </w:r>
    </w:p>
    <w:p>
      <w:pPr>
        <w:spacing w:after="0" w:line="163"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elimination represents the investment in the VIE and our subsidiaries.</w:t>
      </w:r>
    </w:p>
    <w:p>
      <w:pPr>
        <w:spacing w:after="0" w:line="176"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elimination represents the inter-company technical services, marketing services, research and development services and inter-company sales.</w:t>
      </w:r>
    </w:p>
    <w:p>
      <w:pPr>
        <w:spacing w:after="0" w:line="163"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elimination represents the investment in other subsidiaries from our Company, and the investment in our WFOE from other subsidiaries.</w:t>
      </w:r>
    </w:p>
    <w:p>
      <w:pPr>
        <w:spacing w:after="0" w:line="204" w:lineRule="exact"/>
        <w:rPr>
          <w:sz w:val="20"/>
          <w:szCs w:val="20"/>
          <w:color w:val="auto"/>
        </w:rPr>
      </w:pPr>
    </w:p>
    <w:p>
      <w:pPr>
        <w:ind w:left="480" w:hanging="472"/>
        <w:spacing w:after="0"/>
        <w:tabs>
          <w:tab w:leader="none" w:pos="4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184" w:lineRule="exact"/>
        <w:rPr>
          <w:rFonts w:ascii="Times New Roman" w:cs="Times New Roman" w:eastAsia="Times New Roman" w:hAnsi="Times New Roman"/>
          <w:sz w:val="18"/>
          <w:szCs w:val="18"/>
          <w:b w:val="1"/>
          <w:bCs w:val="1"/>
          <w:color w:val="auto"/>
        </w:rPr>
      </w:pPr>
    </w:p>
    <w:p>
      <w:pPr>
        <w:ind w:left="440" w:hanging="432"/>
        <w:spacing w:after="0"/>
        <w:tabs>
          <w:tab w:leader="none" w:pos="4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and Indebtedness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Reasons for the Offer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right="7940" w:firstLine="8"/>
        <w:spacing w:after="0" w:line="464" w:lineRule="auto"/>
        <w:tabs>
          <w:tab w:leader="none" w:pos="44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 Summary of Risk Factors</w:t>
      </w:r>
    </w:p>
    <w:p>
      <w:pPr>
        <w:spacing w:after="0" w:line="282" w:lineRule="auto"/>
        <w:rPr>
          <w:sz w:val="20"/>
          <w:szCs w:val="20"/>
          <w:color w:val="auto"/>
        </w:rPr>
      </w:pPr>
      <w:r>
        <w:rPr>
          <w:rFonts w:ascii="Times New Roman" w:cs="Times New Roman" w:eastAsia="Times New Roman" w:hAnsi="Times New Roman"/>
          <w:sz w:val="18"/>
          <w:szCs w:val="18"/>
          <w:color w:val="auto"/>
        </w:rPr>
        <w:t>Investing in the ADSs involves significant risks. You should carefully consider all of the information in this annual report before making an investment in the ADSs. Below please find a summary of the principal risks we face, organized under relevant headings.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and uncertainties related to our business and industry include, but are not limited to, the following:</w:t>
      </w:r>
    </w:p>
    <w:p>
      <w:pPr>
        <w:spacing w:after="0" w:line="185" w:lineRule="exact"/>
        <w:rPr>
          <w:sz w:val="20"/>
          <w:szCs w:val="20"/>
          <w:color w:val="auto"/>
        </w:rPr>
      </w:pPr>
    </w:p>
    <w:p>
      <w:pPr>
        <w:ind w:left="680" w:right="2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upon the continued strength of our brand. If we are not able to maintain and enhance our brand, our business and operating results may be adversely affected;</w:t>
      </w:r>
    </w:p>
    <w:p>
      <w:pPr>
        <w:spacing w:after="0" w:line="121"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is dependent on the continued popularity of our existing products and services and our continued innovation and successful launches of new products and services, and we may not be able to anticipate or make timely responses to changes in the preferences of consumers;</w:t>
      </w:r>
    </w:p>
    <w:p>
      <w:pPr>
        <w:spacing w:after="0" w:line="148"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heavily on city partners and franchised stores for sales and distribution of our products and our success depends on our offline distribution network;</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substantially on external suppliers for certain components and raw materials used in our products;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in the past, and we may not be able to achieve or maintain profitability;</w:t>
      </w:r>
    </w:p>
    <w:p>
      <w:pPr>
        <w:spacing w:after="0" w:line="198"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services may experience quality problems from time to time, which could result in decreased sales, adversely affect our results of operations and harm our reputation;</w:t>
      </w:r>
    </w:p>
    <w:p>
      <w:pPr>
        <w:spacing w:after="0" w:line="12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compelled to undertake product recalls or take other actions, which could adversely affect our brand image and results of operations;</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intense competition in the electric two-wheeled vehicles industry;</w:t>
      </w:r>
    </w:p>
    <w:p>
      <w:pPr>
        <w:spacing w:after="0" w:line="198"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marketing strategy of appealing to and growing sales to a more diversified group of users may not continue to be successful; and</w:t>
      </w:r>
    </w:p>
    <w:p>
      <w:pPr>
        <w:spacing w:after="0" w:line="12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prevent others from unauthorized use of our intellectual property, which could harm our business and competitive position.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Corporate Structure</w:t>
      </w:r>
    </w:p>
    <w:p>
      <w:pPr>
        <w:spacing w:after="0" w:line="202" w:lineRule="exact"/>
        <w:rPr>
          <w:sz w:val="20"/>
          <w:szCs w:val="20"/>
          <w:color w:val="auto"/>
        </w:rPr>
      </w:pPr>
    </w:p>
    <w:p>
      <w:pPr>
        <w:jc w:val="both"/>
        <w:ind w:left="680" w:hanging="321"/>
        <w:spacing w:after="0" w:line="261"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PRC government finds that the agreements that establish the structure for operating some of our operations in mainland China do not comply with the regulations of mainland China relating to the relevant industries, or if these regulations or the interpretation of existing regulations change or are interpreted differently in the future, we could be subject to severe penalties or be forced to relinquish our interests in those operations;</w:t>
      </w:r>
    </w:p>
    <w:p>
      <w:pPr>
        <w:spacing w:after="0" w:line="139"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exist with respect to the interpretation and implementation of the newly enacted Foreign Investment Law of the PRC and how it may impact the viability of our current corporate structure, corporate governance and business operations; and</w:t>
      </w:r>
    </w:p>
    <w:p>
      <w:pPr>
        <w:spacing w:after="0" w:line="12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contractual arrangements with the VIE and its shareholders for a large portion of our business operations, which may not be as effective as direct ownership.</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China</w:t>
      </w:r>
    </w:p>
    <w:p>
      <w:pPr>
        <w:spacing w:after="0" w:line="189" w:lineRule="exact"/>
        <w:rPr>
          <w:sz w:val="20"/>
          <w:szCs w:val="20"/>
          <w:color w:val="auto"/>
        </w:rPr>
      </w:pPr>
    </w:p>
    <w:p>
      <w:pPr>
        <w:ind w:left="680" w:right="2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political or social conditions or government policies could have a material and adverse effect on our business and results of operations;</w:t>
      </w:r>
    </w:p>
    <w:p>
      <w:pPr>
        <w:spacing w:after="0" w:line="12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approval or other administration requirements of the CSRC or other PRC government authorities may be required in connection with our offshore offerings under PRC law, and, if required, we cannot predict whether or for how long we will be able to complete such filing, obtain such approval or meet such requirements;</w:t>
      </w:r>
    </w:p>
    <w:p>
      <w:pPr>
        <w:spacing w:after="0" w:line="148"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the interpretation and enforcement of the laws and regulations of mainland China could limit the legal protections available to you and us;</w:t>
      </w:r>
    </w:p>
    <w:p>
      <w:pPr>
        <w:spacing w:after="0" w:line="12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government’s significant oversight over our business operation could result in a material adverse change in our operations and the value of our securities;</w:t>
      </w:r>
    </w:p>
    <w:p>
      <w:pPr>
        <w:spacing w:after="0" w:line="12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the complexity, uncertainties and changes in the regulation on internet-related businesses and companies in mainland China;</w:t>
      </w:r>
    </w:p>
    <w:p>
      <w:pPr>
        <w:spacing w:after="0" w:line="134"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w:t>
      </w:r>
    </w:p>
    <w:p>
      <w:pPr>
        <w:spacing w:after="0" w:line="13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may be prohibited from trading in the United States under the HFCAA in the future if the PCAOB is unable to inspect or investigate completely auditors located in mainland China and Hong Kong. The delisting of the ADSs, or the threat of their being delisted, may materially and adversely affect the value of your investment.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ADSs</w:t>
      </w:r>
    </w:p>
    <w:p>
      <w:pPr>
        <w:spacing w:after="0" w:line="202" w:lineRule="exact"/>
        <w:rPr>
          <w:sz w:val="20"/>
          <w:szCs w:val="20"/>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ADSs is likely to be volatile, which could result in substantial losses to investors;</w:t>
      </w:r>
    </w:p>
    <w:p>
      <w:pPr>
        <w:spacing w:after="0" w:line="184"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publishes inaccurate or unfavorable research about our business, or if they adversely change their recommendations regarding the ADSs, the market price for our ADSs and trading volume could decline;</w:t>
      </w:r>
    </w:p>
    <w:p>
      <w:pPr>
        <w:spacing w:after="0" w:line="13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availability for sale of substantial amounts of the ADSs could adversely affect their market price;</w:t>
      </w:r>
    </w:p>
    <w:p>
      <w:pPr>
        <w:spacing w:after="0" w:line="198"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voting structure will limit your ability to influence corporate matters and could discourage others from pursuing any change of control transactions that holders of our Class A ordinary shares and the ADSs may view as beneficial; and</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dual-class structure of our ordinary shares may adversely affect the trading market for the ADSs.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in the electric two-wheeled vehicles industry.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in the electric two-wheeled vehicles industry and face intense competition. We expect additional competitors to enter this market. Our future competitors may enjoy competitive advantages, such as (i) greater capacity to leverage their sales efforts and marketing expenditures across a broader portfolio of products, (ii) more established relationships with a larger number of suppliers, contract manufacturers and channel partners, (iii) access to larger and broader user bases, (iv) greater brand recognition, (v) greater financial, research and development, marketing, distribution and other resources, (vi) more resources to make investments and acquisitions and (vii) larger intellectual property portfolios. We may face competition from both domestic players and established international electric scooter manufacturers.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some of the mass-market electric scooter manufactures have also been adopting lithium-ion battery and app connectivity technologies to enter the electric two-wheeled vehicles market, which further intensifies direct competition. We believe our exclusive focus on smart electric scooters and the benefits we receive by manufacturing in China are the basis on which we can compete in the electric two-wheeled vehicles market in spite of the challenges posed by market competition. We believe that we are strategically positioned in the electric two-wheeled vehicles market, given the quality, performance and unique design of our products. Nonetheless, increasing competition may lead to lower unit sales and the subsequent increase in inventory may result in a further downward price pressure and adversely affect our business, financial condition, operating results and prospects. Our ability to successfully compete in our industry will be fundamental to our future success in existing and new markets and our market share. There can be no assurance that we will be able to compete successfully in our markets. If our competitors introduce new products or services that compete with or surpass the quality, price or performance of our products or services, we may be unable to satisfy existing customers or attract new customers at the prices and levels that would allow us to generate attractive rates of return on our investment.</w:t>
      </w:r>
    </w:p>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the continued strength of our brand. If we are not able to maintain and enhance our brand, our business and operating results may be adversely affected.</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brand has significantly contributed to the success of our business and that maintaining and enhancing the brand is critical to retaining and expanding our customer base. Our marketing, design, research and products are aimed at reinforcing consumer perceptions of our “NIU” brand as a premium smart e-scooter brand. Therefore, failure to protect our brand or to grow the value of our “NIU” brand may have a material adverse effect on our business and results of operations, including losing our customers.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focus on promoting awareness of our “NIU” brand generally and in particular as a premium brand for high-quality smart e-scooters globally. We seek to maintain and strengthen our brand image through marketing initiatives, including advertising, consumer promotions and trade promotions. Maintaining and strengthening our brand image depends on our ability to adapt to a rapidly changing media environment and preferences of customers to receiving information, including our increasing reliance on social media and online dissemination of advertising campaigns. If we do not continue to improve, maintain and strengthen our brand, we may lose the opportunity to build a critical mass of customers. Additionally, promoting and positioning our brand will likely depend significantly on our ability to provide high-quality products and services and engage with our customers as intended. If we are unsuccessful in doing so, our business, financial condition, results of operations and prospects could be materially and adversely affected.</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rely heavily on our brand image in selling our products. Negative publicity relating to our products and services, shareholders, management, employees, operations, distributors, business partners, industry or products similar to ours, could materially and adversely affect consumer perceptions of our brand and result in decreased demand for our products. There have been various negative reports regarding our products, our company and our shareholders in the past, in both online and traditional media, and there can be no assurance that we will not experience negative publicity in the future or that such negative publicity will not have a material adverse effect on our business, results of operations, financial condition or prospects.</w:t>
      </w:r>
    </w:p>
    <w:p>
      <w:pPr>
        <w:spacing w:after="0" w:line="14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the continued popularity of our existing products and services and our continued innovation and successful launches of new products and services, and we may not be able to anticipate or make timely responses to changes in the preferences of consumers.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success of our operations depends on our ability to introduce new or enhanced smart e-scooters, and other new products. Consumer preferences differ across and within each of the regions in which we operate or plan to operate and may shift over time in response to changes in demographic and social trends, economic circumstances and the marketing efforts of our competitors. There can be no assurance that our existing products will continue to be favored by consumers or that we will be able to anticipate or respond to changes in consumer preferences in a timely manner. Our failure to anticipate, identify or react to these particular preferences could adversely affect our sales performance and our profitability. In addition, demand for many of our products, including accessories, are closely linked to customers’ purchasing power and disposable income levels, which may be adversely affected by unfavorable economic developments in the countries in which we operate.</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devote significant resources to product development. However, we may not be successful in developing innovative new products, and our new products may not be commercially successful. To the extent that we are not able to effectively gauge the direction of our key markets and successfully identify, develop and manufacture new or improved products in these changing markets, our financial results and our competitive position may suffer. Moreover, there are inherent market risks associated with new product introductions, including uncertainties about marketing and consumer preference, and there can be no assurance that we will be successful in introducing new products. We may expend substantial resources developing and marketing new products that may not achieve expected sales levels.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our competitive advantage also depends on the smart features and data services we provide to our users. Our smart e-scooters are connected to our NIU app. By using smart e-scooters’ built-in GPS, on-board computer, algorithms and cloud technology, our NIU app enables riders to seamlessly receive real-time data including, among others, anti-theft alerts, daily riding habits and power supply, real-time diagnostics and maintenance and service station directory. We cannot assure you that we will be able to continue to innovate and develop new smart features and data services, which may jeopardize customer experience and affect both our sales of scooters and provision of related services.</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heavily on city partners and franchised stores for sales and distribution of our products and our success depends on our offline distribution network.</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established a distinct omnichannel retail network to sell our products and services to our customers. In China, our offline retail channels consist of city partners and franchised stores, whereas in European and other countries, we rely on overseas business partners, including distributors, dealers and retailers. Our “city partner” system plays an important role in our offline sales strategy in China. City partners are our exclusive distributors who either open and operate franchised stores or sign up franchised stores. As of December 31, 2025, we had 623 city partners and 4,540 franchised stores in China. Our offline distribution network plays a crucial role in our omnichannel retail system. We rely on these city partners and franchised stores in China to directly interact with and serve our users, but the interest of city partners and franchised stores may not be entirely aligned with ours or with that of other city partners and franchised stores. There can be no assurance that we will be able to maintain our existing relationships with city partners and franchised stores. Additionally, our existing city partners and franchised stores may not be able to maintain past levels of sales or expand their sales. In addition, as we seek to expand into new regions in China, we cannot assure you that we will be able to successfully establish and maintain relationships with new city partners and franchised stores in these regions on favorable terms or at all.</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we manage our franchised stores in a real-time and interactive manner. We closely monitor their sales performance, service levels and activities within the franchised stores through the store level management system that was implemented by us since early 2018. However, we cannot assure you that we will be successful in managing our city partners and franchised stores and detecting inconsistencies with our brand image or values or non-compliance with the provisions of our distribution agreements by them. Any non-compliance by our city partners or franchised stores could, among other things, negatively affect our brand reputation, demands for our products and our relationships with other city partners and franchised stores. Any of these could have a material and adverse effect on our business, financial condition, results of operations and prospects.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substantially on external suppliers for certain components and raw materials used in our products.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purchase certain key components and raw material, such as batteries, motors, tires, battery chargers and controllers from external suppliers for use in our operations and production of products, and a continuous and stable supply of these components and raw materials that meet our standards is crucial to our operations and production. We normally enter into one- to three-year procurement agreements with our external suppliers and expect to continue to rely on external suppliers for a substantial percentage of our production requirements in the future. We proactively manage supplier concentration risk through a robust multi-sourcing strategy. For the majority of our key components, we have secured more than two interchangeable suppliers to ensure supply chain continuity. Nevertheless, we cannot assure you that we will be able to maintain our existing relationships with these suppliers and continue to be able to source electric motors, batteries or other key components and raw materials we use in our products on a stable basis and at a reasonable price or at all. For example, our suppliers may increase the prices for the components or materials we purchase and/or experience disruptions in their production of the components or materials.</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supply chain also exposes us to multiple potential sources of delivery failure or component shortages. While we obtain components from multiple sources whenever possible, similar to other scooter manufacturers, some of the components used in our products are purchased by us from a single source. We have integrated the suppliers’ technologies within our products such that having to change to an alternative supplier may cause significant disruption to our operations. In the event that the supply of key components is interrupted for whatever reason or there are significant increases in the prices of these key components, our business, financial condition, results of operations and prospects may be materially and adversely affected. Additionally, changes in business conditions, force majeure, governmental changes and other factors beyond our control or that we do not presently anticipate could also affect our suppliers’ ability to deliver components to us on a timely basis.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incur significant costs related to procuring components and raw materials required to manufacture and assemble our products. The prices for the components and raw materials fluctuate depending on factors beyond our control including market conditions and demand for these components and materials. Substantial increases in the prices for the components or raw materials we use in producing our products would increase our costs and reduce our margins. Any of the foregoing could materially and adversely affect our results of operations, financial condition and prospects.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net losses in the past, and we may not be able to achieve or maintain profitability.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had net profits in certain historical fiscal years, we had a net loss of RMB271.8 million, RMB193.2 million and RMB39.4 million (US$5.6 million) in 2023, 2024 and 2025, respectively. We had net cash provided by operating activities of RMB93.7 million, RMB52.3 million and RMB353.3 million (US$50.5 million) in 2023, 2024 and 2025, respectively. We cannot assure you that we will be able to achieve profitability again and maintain net profits or positive cash flow from operating activities in the future. Our ability to achieve or maintain profitability depends in large part on our ability to increase sales of our products and services, increase cost efficiency and manage operating expenses. We intend to continue to increase our sales of products, improve gross margin, manage and further reduce our operating expenses as a proportion of our total revenues, but there can be no assurance that we will achieve this goal and maintain profitability in the future.</w:t>
      </w:r>
    </w:p>
    <w:p>
      <w:pPr>
        <w:spacing w:after="0" w:line="16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services may experience quality problems from time to time, which could result in decreased sales, adversely affect our results of operations and harm our reputation.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and services can contain design and manufacturing defects. Sophisticated cloud electric central unit and software, such as those developed by us, often contain “bugs” that can unexpectedly interfere with the software’s intended operation. Defects may also occur in components and products that we purchase from third-party suppliers. There can be no assurance we will be able to detect and fix all defects in the hardware, software and services we offer. Failure to do so could result in lost in revenue, significant warranty and other expenses and harm to our reputation.</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source and purchase key components or accessories in our operations and production of products from third-party suppliers, such as batteries, motors, tires, battery chargers, helmets and controllers. We cannot assure that the quality and functions of these key components or accessories supplied by third-party suppliers will be consistent with and maintained at our high standard. Any defects or quality issues in these key components or accessories or any non-compliance incidents associated with these third-party suppliers could result in quality issues with our products and hence compromise our brand image and results of operations.</w:t>
      </w:r>
    </w:p>
    <w:p>
      <w:pPr>
        <w:spacing w:after="0" w:line="1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compelled to undertake product recalls or take other actions, which could adversely affect our brand image and results of operations.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products may not perform consistently with customers’ expectations or with other scooters currently available on the market. Any product defects or any other failure of our products to perform as expected could harm our reputation and result in adverse publicity, lost revenue, delivery delays, product recalls, product liability claims, harm to our brand and reputation, and significant warranty and other expenses, and could have a material adverse impact on our business, financial condition, operating results and prospects.</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21, 2019, the State Administration for Market Regulation, or the SAMR, issued the Interim Provisions on the Administration of Recall of Consumer Goods, which became effective on January 1, 2020. Pursuant to such provisions, if a manufacturer is aware of any potential defect in its products or receives such notice from the government authorities, it must investigate in a timely manner and report the results of such investigation to the authorities. Where any defect is found during the investigation, the manufacturer must immediately cease to manufacture, sell or import the relevant products and recall such products. As of the date of this annual report, we have not received any such notice from government authorities, or initiated, voluntarily or involuntarily, any product recalls in accordance with such provisions.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future, we may at various times, voluntarily or involuntarily, initiate a recall if any of our products, including any systems or parts sourced from our suppliers, prove to be defective or non-compliant with applicable laws and regulations. Such recalls, whether voluntary or involuntary or caused by systems or components engineered or manufactured by us or our suppliers, could involve significant expense and could adversely affect our brand image in our target markets, as well as our business, prospects, financial condition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marketing strategy of appealing to and growing sales to a more diversified group of users may not continue to be successful.</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been successful in marketing our smart e-scooters in large part by promoting the NIU brand experience and lifestyle. Our marketing, design, research and products are aimed to reinforcing customer perceptions of as a premium smart e-scooter brand. We aim to provide users with a good user experience, including by providing our users with access to a full suite of services conveniently through our NIU app and services stores. In addition, we seek to engage with our users on an ongoing basis using online and offline channels, such as NIU community. We cannot assure you that our services, including repair and maintenance service and NIU Cover, or our efforts to engage with our users using both our online and offline channels, will be successful, which could impact our revenues as well as our customer satisfaction and marketing.</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sustain and grow our business over the long term, we must continue to be successful in selling products and promoting the NIU brand experience and lifestyle to a broader and more diverse set of users. We must also execute our diversification strategy without adversely impacting the strength of the brand with core users. Failure to successfully increase demand for our smart e-scooters may have a material adverse effect on our business and results of operations.</w:t>
      </w:r>
    </w:p>
    <w:p>
      <w:pPr>
        <w:spacing w:after="0" w:line="1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prevent others from unauthorized use of our intellectual property, which could harm our business and competitive position.</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consider our copyrights, trademarks, trade names, internet domain names, patents and other intellectual property rights invaluable to our ability to continue to develop and enhance our brand recognition. We have invested significant resources to develop our own intellectual property. Failure to maintain or protect these rights could harm our business. We rely on a combination of patents, patent applications, trade secrets, including know-how, copyright laws, trademarks, intellectual property licenses, contractual rights and any other agreements to establish and protect our proprietary rights in our technology. In addition, we enter into confidentiality and non-disclosure agreements with our employees, distributors, business partners and suppliers. See “Item 4. Information On the Company—B. Business Overview —Intellectual Property.” Statutory laws and regulations are subject to judicial interpretation and enforcement and may involve uncertainties. Contractual rights may be breached by counterparties, and there may not be adequate remedies available to us for any such breach.</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measures we take to protect our intellectual property rights may not be sufficient or adequate to prevent infringement on or misuse of our intellectual property. Any unauthorized use of our intellectual property by third parties may adversely affect our current and future revenues and our reputation. Preventing unauthorized uses of intellectual property rights could be difficult, costly and time-consuming. Litigation may be necessary to enforce our intellectual property rights. Initiating infringement proceedings against third parties can be expensive and time-consuming, and divert management’s attention from other business concerns. We may not prevail in litigation to enforce our intellectual property rights against unauthorized use. We may have to resort to litigation to protect our intellectual property rights. Failure to adequately protect our intellectual property could harm our brand name and materially affect our business and results of operations.</w:t>
      </w:r>
    </w:p>
    <w:p>
      <w:pPr>
        <w:spacing w:after="0" w:line="16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defend ourselves against patent, trademark or other proprietary rights infringement claims, which may be time-consuming and would cause us to incur substantial costs.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Companies, organizations or individuals, including our competitors, may hold or obtain patents, trademarks or other proprietary rights that would prevent, limit or interfere with our ability to make, use, develop, sell or market our products, which could make it more difficult for us to operate our business. From time to time, we may receive communications from holders of patents or trademarks regarding their proprietary rights. Companies holding patents or other intellectual property rights may bring suits alleging infringement of such rights or otherwise assert their rights and urge us to take licenses. Our applications and uses of trademarks relating to our design, software or artificial intelligence technologies could be found to infringe upon existing trademark ownership and rights.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may fail to own or apply for key trademarks in a timely fashion, or at all, which may damage our reputation and brand.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receive from time to time letters alleging infringement of patents, trademarks or other intellectual property rights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our patents may expire and may not be extended, our patent applications may not be granted and our patent rights may be contested, circumvented, invalidated or limited in scope, our patent rights may not protect us effectively.</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of December 31, 2025, we owned 617 patents, 1,028 registered trademarks and 33 copyrights relating to various aspects of our operations and two registered domain names, including </w:t>
      </w:r>
      <w:r>
        <w:rPr>
          <w:rFonts w:ascii="Times New Roman" w:cs="Times New Roman" w:eastAsia="Times New Roman" w:hAnsi="Times New Roman"/>
          <w:sz w:val="18"/>
          <w:szCs w:val="18"/>
          <w:i w:val="1"/>
          <w:iCs w:val="1"/>
          <w:u w:val="single" w:color="auto"/>
          <w:color w:val="auto"/>
        </w:rPr>
        <w:t>www.niu.com</w:t>
      </w:r>
      <w:r>
        <w:rPr>
          <w:rFonts w:ascii="Times New Roman" w:cs="Times New Roman" w:eastAsia="Times New Roman" w:hAnsi="Times New Roman"/>
          <w:sz w:val="18"/>
          <w:szCs w:val="18"/>
          <w:color w:val="auto"/>
        </w:rPr>
        <w:t>. Of the 1,028 registered trademarks, 155 are registered in mainland China and 873 in other countries and regions. As of the same date, we had 137 applications for patents and trademarks pending in mainland China, Europe and other jurisdictions. For our pending applications, we cannot assure you that we will be granted patents pursuant to our pending applications. Even if our patent applications succeed and we are issued patents in accordance with them, it is still uncertain whether these patents will be contested, circumvented or invalidated in the future.</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rights granted under any issued patents may not provide us with proprietary protection or competitive advantages. The claims under any patents that issue from our patent applications may not be broad enough to prevent others from developing technologies that are similar or that achieve results similar to ours. It is also possible that the intellectual property rights of others will bar us from licensing and from exploiting any patents that are issued from our pending applications. Numerous patents and pending patent applications owned by others exist in the fields in which we have developed and are developing our technology. These patents and patent applications might have priority over our patent applications and could subject our patent applications to invalidation. Finally, in addition to those who may claim priority, any of our existing or pending patents may also be challenged by others on the basis that they are otherwise invalid or unenforceable.</w:t>
      </w:r>
    </w:p>
    <w:p>
      <w:pPr>
        <w:spacing w:after="0" w:line="1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or warranty claims that could result in significant direct or indirect costs, or we could experience greater returns from distributors and business partners than expected, which could harm our business and operating results.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become subject to product liability claims, which could harm our business, prospects, operating results and financial condition. The electric two-wheeled vehicles industry experiences significant product liability claims and we face inherent risk of exposure to claims in the event our products do not perform as expected or malfunction resulting in property damage, personal injury or death. A successful product liability claim against us could require us to pay a substantial monetary award. Moreover, a product liability claim could generate substantial negative publicity about our products and business and inhibit or prevent commercialization of our future products which would have material adverse effect on our brand, business, prospects and operating results. Any insurance coverage might not be sufficient to cover all potential product liability claims. Any lawsuit seeking significant monetary damages may have a material adverse effect on our reputation, business and financial condition.</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generally provide various warranties on different components and parts of our products and across different markets. In China, we mainly provide extended quality warranty for certain key components of electric scooter to our users, with terms varying from twelve months to a lifetime, subject to certain conditions, among others, including that warranty only applies to normal use and quality issues. The occurrence of any material defects in our products could make us liable for damages and warranty claims in excess of our current reserves. In addition, we could incur significant costs to correct any defects, warranty claims or other problems, including costs related to product recalls. Any negative publicity related to the perceived quality of our products could affect our brand image, decrease demand from distributors, business partners and customers, and adversely affect our operating results and financial condition. While our warranty is limited to repairs and returns, warranty claims may result in litigation, the occurrence of which could adversely affect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comply with legal or regulatory requirements or to obtain or maintain the licenses, permits, registrations or certificates.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manufacturing and other production facilities as well as the packaging, storage, distribution, advertising and labeling of our products, are subject to extensive legal and regulatory requirements. For example, pursuant to the Administration Measures for Access of Motorcycle Manufacturing and the Implementing Rules of the Administration Measures for Access of Motorcycle Manufacturing, enterprises must pass the production access examination and obtain the Motorcycle Production Access Certificate before manufacturing motorcycles in mainland China, and if an enterprise conducts a motorcycle manufacturing consignment, both the consignee and the consignor are required to obtain the Motorcycle Production Access Certificate. Loss of or failure to renew or obtain necessary permits, licenses, registrations or certificates could delay or prevent us from meeting product demand, introducing new products, building new facilities or acquiring new businesses and could materially and adversely affect our operating results. If we are found to be in violation of applicable laws and regulations, we could be subject to administrative punishment, including fines, injunctions, recalls or asset seizures, as well as potential criminal sanctions, any of which could have a material adverse effect on our business, financial condition, results of operations and prospects.</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future material changes in industry standards, laws and regulations, such as increased restrictions on manufacturers, could result in increased operating costs or affect our ordinary operations, which could also have a material adverse effect on our operations and our financial results. See “Item 4. Information on the Company—B. Business Overview—Regulations” for additional details regarding the permits, licenses, registrations and other requirements applicable to us, our subsidiaries and affiliates. We largely rely on our own standards concerning the production and quality control of such products. While we are committed to producing high-quality products, there can be no assurance that our current production or quality control standards will satisfy any applicable laws and regulations that may come into effect in the future.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are subject to safety standards and failure to satisfy such mandated standards would have a material adverse effect on our business and operating results.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products must comply with the safety standards of the market where they are sold. In mainland China, electric bicycles and electric motorcycles must meet or exceed all mandated safety standards, including national level and local level standards. It is required under these standards to conduct rigorous testing and use approved materials and equipment.</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Electric bicycles shall meet the safety requirements set out in the Safety Technical Specification for Electric Bicycle (GB17761-2024), or the New Electric Bicycle Standard, which was jointly issued by the SAMR and the National Standardization Administration of China on December 31, 2024 and came into effect on September 1, 2025. Such new standard stipulates requirements for fire resistance, total mass of plastic components, upper limit of vehicle weight, positioning, and pedal-assist system for electric bicycles. Safety Technical Specification for Electric Bicycle (GB17761-2018) was expired and abolished accordingly. See “Item 4. Information on the Company— B. Business Overview—Regulations” for further details.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Electric motorcycles, as one type of the power-driven vehicles, shall meet the safety requirements set out in the Technical Specifications for Safety of Power-Driven Vehicles Operating on Roads (GB7258-2017), which was jointly issued by the General Administration of Quality Supervision, Inspection and Quarantine of the People’s Republic of China, or the AQSIQ, and National Standardization Administration of China on September 29, 2017, and last amended on February 20, 2021. The latest version took effect on January 1, 2022. Furthermore, the Safety Specifications for Electric Motorcycles and Electric Mopeds (GB24155-2020), which issued by the SAMR and the National Standardization Administration of China in May 2020 and became effective on January 1, 2021, also stipulates some specific safety requirements for electric motorcycles.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no guarantee that our products will satisfy the standards and requirements for electric bicycles or motorcycles, and we may be required to satisfy additional industry standards and face regulation changes relating to electric bicycle and motorcycle business in the future. If our models were found to be non-compliant with laws and regulations, the models in question would be prohibited from being sold in the Chinese market, which would in turn materially and adversely affect our sales and revenue, and cause damage to our brand and result in liabilities. See “Item 4. Information on the Company—B. Business Overview—Regulations—Regulations Relating to Production of E-Scooter—Regulations on Production of Electric Bicycle” and “—Regulations on Qualification of Production of Electric Motorcycle.”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Furthermore, the electric bicycles and motorcycles must pass various tests, undergo a certification process and finally be affixed with China Compulsory Certification prior to being delivered from the factory, being sold or being used in any commercial case, and such certification is also subject to periodic renewal. On March 14, 2019, the Opinions of the State Administration for Market Regulation, the Ministry of Industry and Information Technology and the Ministry of Public Security on Intensifying Supervision of the Execution of National Standards for Electric Bicycles was promulgated. The opinions provide that the market supervision department shall strengthen the management of the China Compulsory Certification for electric bicycles, strengthen inspections of certification agencies and manufacture enterprises and only allow vehicles that meet the New Electric Bicycle Standards and obtained the China Compulsory Certification flowing into the market. On October 1, 2024, the State Administration for Market Regulation, the Ministry of Industry and Information Technology, the Ministry of Public Security and the National Fire and Rescue Administration jointly issued the Announcement on Strengthening Electric Bicycle Product Access and Industry Standardized Management, emphasizing, among others, that national mandated standards for electric bicycle shall be strictly complied with and the compulsory certification shall be strictly implemented. On October 15, 2024, China Quality Certification Center issued the Notice on Implementation of the New Version of the Standard for CCC Certification of Electric Bicycles. Starting from November 1, 2024, entities seeking electric bicycle certification must follow this 2024 edition of CCC Certification. Certificates issued under the 2023 edition will remain valid, while the valid certifications issued prior to the 2024 edition must complete the certification changes by October 31, 2024, failure to do which will result in temporarily suspension, or even revocation of the certification if the changes are not completed within a one-year transitional period. We have obtained the China Compulsory Certification for all of our current products for sale, and will try to obtain the China Compulsory Certification for our future products. Effective December 1, 2025, in accordance with the New Electric Bicycle Standard, all electric bicycles sold must comply with such mandatory national standard, and electric bicycles sold must be certified and bear the CCC mark on the vehicle body, indicating that such electric bicycles have been certified by a designated certification entity and meets the New Electric Bicycle Standard. All designated certification entities for electric bicycles would cancel the CCC certification certificates issued based on the old version of such standard by December 1, 2025, and all CCC certification certificates issued based on the old standard that are suspended and cannot be reinstated shall be revoked by December 1, 2025. There is no guarantee, however, all series of our products will always comply with the China Compulsory Certification standard and satisfy the requirements of the China Compulsory Certification, or we will be able to renew our current certification or certify timely our new products in the future. If our products were found to be non-compliant with the China Compulsory Certification standard, we would be prohibited from selling such e-scooters in the Chinese market, which would in turn materially and adversely affect our sales and revenue and cause damage to our brand and result in liabilities. See “Item 4. Information on the Company—B. Business Overview—Regulations—Regulations Relating to Production of E-Scooter— Regulations on Product Quality.”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retain certain personal information about our users and may be subject to various privacy and consumer protection laws.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use our NIU Inspire system to log information about each smart e-scooter’s use in order to aid us in smart e-scooter diagnostics, repair and maintenance, as well as to help us collect data regarding the user’s charge time, battery usage, mileage, efficiency habits and location information. Our users may object to the use of these data, which may harm our business. Possession and use of users’ personal information in conducting our business may subject us to regulatory burdens in mainland China and other jurisdictions, such as the European Union, which would require us to obtain users’ consent, restrict our use of such personal information and hinder our ability to expand our user base. In the event of a data breach or other unauthorized access to our user data, we may have obligations to notify users about the incident and we may need to provide some form of remedy for the individuals affected by the incident. For example, in May 2018 the European Union’s new regulation governing data practices and privacy called the General Data Protection Regulation, or the GDPR, became effective and substantially replaced the data protection laws of the individual European Union member states. The law requires companies to meet more stringent requirements regarding the handling of personal data of individuals in the EU than were required under predecessor EU requirements. In the United Kingdom, a Data Protection Bill that substantially implements the GDPR also became law in May 2018. The law also increases the penalties for noncompliance,­ which may result in monetary penalties of up to 20.0 million Euros or 4% of a company’s worldwide turnover, whichever is higher. In the U.S., various federal, state and foreign legislative and regulatory bodies, or self-regulatory organizations, may expand current laws or regulations, enact new laws or regulations or issue revised rules or guidance regarding privacy, data protection, information security. For example, California enacted the California Consumer Privacy Act, which, among other things, requires new disclosures to California consumers and afford such consumers new abilities to opt out of certain sales of personal information. Outside of the European Union and the U.S., many countries and territories have laws, regulations or other requirements relating to privacy, data protection, information security and consumer protection, and new countries and territories are adopting such legislation or other obligations with increasing frequency.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users allege that we have improperly used, released or disclosed their personal information, we could face legal claims and reputational damage. We may incur significant expenses to comply with privacy, consumer protection and security standards and protocols imposed by law, regulation, industry standards or contractual obligations. Additionally, we use third-party cloud services to store the data collected. If third parties improperly obtain and use the personal information of our users, we may be required to expend significant resources to resolve these problems. A major breach of our network security and systems could create serious negative consequences for our businesses and future prospects, including possible fines, penalties, reduced customer demand for our products and harm to our reputation and brand. See “Item 4. Information on the Company—B. Business Overview—Regulations” for further details.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variety of costs and risks due to our continued expansion internationally that may not be successful and could adversely affect our profitability and operating results.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face challenges and risks associated with expanding our business globally into new geographic markets. Our smart e-scooters have international models that are manufactured for sales and distribution in international markets. International expansion represents a large opportunity to further grow our business and enhance our competitive position, and is one of our core strategies.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enter into new geographic markets where we have limited or no experience in marketing, selling, and localizing and deploying our smart e-scooters. International expansion has required and will continue to require us to invest significant capital and other resources and our efforts may not be successful. International sales and operations may be subject to risks such as:</w:t>
      </w:r>
    </w:p>
    <w:p>
      <w:pPr>
        <w:spacing w:after="0" w:line="135" w:lineRule="exact"/>
        <w:rPr>
          <w:sz w:val="20"/>
          <w:szCs w:val="20"/>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brand recognition (compared with our home market in China);</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establishing new distribution networks;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to find qualified business partners for overseas sales;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anticipate foreign consumers’ preferences and customs;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98"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a wide variety of local laws and regulations, including personal data protection, battery, motor, packaging and labeling;</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restrictions;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lesser degrees of intellectual property protection;</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customs duties and the classifications of our goods by applicable governmental bodies;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system subject to undue influence or corruption.</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occurrence of any of these risks could negatively affect our international business and consequently our business and operating results. In addition, the concern over these risks may also prevent us from entering into or releasing certain of our smart e-scooters in certain markets.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third-party logistic service providers to deliver our online direct sales orders and certain overseas orders.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typically rely on third-party logistic service providers to deliver our online direct sales orders and certain overseas orders. Damage or disruption to our distribution logistics due to disputes, weather, natural disasters, fire, explosions, terrorism, pandemics, geopolitical turmoil or labor strikes could impair our ability to distribute or sell our products. Inadequate third-party logistics services could also potentially disrupt our distribution and sales and compromise our business reputation. Failure to take adequate steps to mitigate the likelihood or potential impact of such events, or to effectively manage such events if they occur, could adversely affect our business, financial condition and results of operations, as well as require additional resources to restore our supply chain.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be interrupted by production difficulties due to mechanical failures, utility shortages or stoppages, fire, natural disaster or other calamities at or near our facilities.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reliant on equipment and technology in our facilities for the production and quality control of our products, and our operations are subject to production difficulties such as capacity constraints of our production facilities, mechanical and systems failures and the need for construction and equipment upgrades, any of which may cause the suspension of production or/and reduced output. There can be no assurance that we will not experience problems with our equipment or technology in the future or that we will be able to address any such problems in a timely manner. Problems with key equipment or technology in one or more of our production facilities may affect our ability to produce our products or cause us to incur significant expense to repair or replace such equipment or technology. Also, scheduled and unscheduled maintenance programs may affect our production output. Any of these could have a material adverse effect on our business, financial condition, results of operations and prospects.</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we depend on a continuous supply of utilities, such as electricity and water, to operate our production facilities. Any disruption to the supply of electricity or other utilities to our production facilities may disrupt our production. This could adversely affect our ability to fulfill our sales orders and consequently may have an adverse effect on our business and results of operations. In addition, our operations are subject to operational risks. Fire, natural disasters, pandemics or extreme weather, including earthquakes, droughts, floods, typhoons or other storms, or excessive cold or heat could cause power outages, fuel shortages, water shortages, damage to our production facilities, any of which could impair or interfere with our operations. We cannot assure you that similar events will not happen again in the future or that we will be able to take adequate measures to mitigate the likelihood or potential impact of similar events, or to effectively respond to such events if they occur, which could materially and adversely affect our business, financial condition and results of operations.</w:t>
      </w:r>
    </w:p>
    <w:p>
      <w:pPr>
        <w:spacing w:after="0" w:line="15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be unable to accurately report our financial results or prevent fraud.</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reporting obligations under the U.S. securities laws. Among other things, the SEC, as required by Section 404 of the Sarbanes-Oxley Act of 2002, or Section 404, adopted rules requiring every public company, including us, to include a management report on the company’s internal control over financial reporting in its annual report, which contains management’s assessment of the effectiveness of the company’s internal control over financial reporting. In addition, an independent registered public accounting firm must attest to and report on the effectiveness of the Company’s internal control over financial reporting.</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preparation of our consolidated financial statements for the fiscal year ended December 31, 2025, we did not identify any material weakness in our internal controls and our financial reporting. Our management has concluded that our internal control over financial reporting was effective as of December 31, 2025. See “Item 15. Controls and Procedures.” In the future, however, if we fail to maintain effective internal control over financial reporting, our management may not be able to conclude that we have effective internal control over financial reporting at a reasonable assurance level. A failure to maintain effective internal controls over financial reporting could result in inaccuracies in our financial statements and could also impair our ability to comply with applicable financial reporting requirements and related regulatory filings on a timely basis. As a result, our business, financial condition, results of operations and prospects, as well as the trading price of our ADSs, may be materially and adversely affected. Moreover,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requirements differently from us. In addition, since we have been a public company, our reporting obligations may place a significant strain on our management, operational and financial resources and systems for the foreseeable future. We may be unable to timely complete our evaluation testing and any required remediation. If we fail to maintain an effective internal control environment, we could suffer material misstatements in our consolidated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the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consolidated financial statements for prior periods.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distributors, business partners or suppliers fail to use ethical business practices and comply with applicable laws and regulations, our brand image could be harmed due to negative publicity.</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core values, which include developing high-quality smart e-scooters while operating with integrity, are an important component of our brand image, which makes our reputation sensitive to allegations of unethical business practices. We do not control the business practices of our distributors, business partners or suppliers. Accordingly, we cannot guarantee their compliance with ethical business practices, such as environmental responsibilities, fair wage practices and compliance with child labor laws, among others. A lack of demonstrated compliance could lead us to seek alternative distributors, business partners or suppliers which could increase our costs and result in delayed delivery of our products or other disruptions of our operations.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Violation of labor or other laws by our distributors, business partners or suppliers or the divergence of their labor or other practices from those generally accepted as ethical in the markets in which we do business could also attract negative publicity for us and our brand. This could diminish the value of our brand image and reduce demand for our products if, as a result of such violation, we were to attract negative publicity. If we, or other players in our industry, encounter similar problems in the future, it could harm our brand image, business, prospects, results of operations and financial condition.</w:t>
      </w:r>
    </w:p>
    <w:p>
      <w:pPr>
        <w:spacing w:after="0" w:line="1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significant cybersecurity incident or disruption of our information technology systems or those of third-party partners could materially damage user relationships and subject us to significant reputational, financial, legal and operation consequences.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depend on our information technology systems, as well as those of third parties, to develop new products and services, host and manage our services, store data, process transactions, respond to user inquiries, and manage inventory and our supply chain. Any material disruption or slowdown of our systems or those of third parties whom we depend upon could cause outages or delays in our services, particularly in the form of interruption of services delivered by our mobile app, which could harm our brand and adversely affect our operating results. We rely on cloud servers maintained by cloud service providers to store our data, and all of the data we collected are hosted at third-party cloud service providers.</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Problems with our cloud service providers or the telecommunications network providers with whom they contract could adversely affect the user experience delivered by us. Our cloud service providers could decide to cease providing us services without adequate notice. Any change in service levels at our cloud servers or any errors, defects, disruptions or other performance problems with our information technology systems could harm our brand and may damage the data of our users. If changes in technology cause our information technology systems, or those of third parties whom we depend upon, to become obsolete, or if our or their information systems are inadequate to handle our growth, we could lose users, and our business and operating results could be adversely affected.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retain our core management team and other key personnel.</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performance depends on the continued service and performance of our directors and senior management as they are expected to play an important role in guiding the implementation of our business strategies and future plans. If any of our directors or any members of our senior management were to terminate their service or employment with us, there can be no assurance that we would be able to find suitable replacements in a timely manner, at acceptable cost or at all. The loss of services of key personnel or the inability to identify, hire, train and retain other qualified and managerial personnel in the future may materially and adversely affect our business, financial condition, results of operations and prospects. Additionally, we rely on our research and development personnel for product development and technology innovation. If any of our key research and development personnel were to leave us, we cannot assure you that we can secure equally competent research and development personnel in a timely manner, or at all.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manage our growth or implement our business strategies.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formed in September 2014, and we launched our first product, the NQi Series scooter, in June 2015. Despite experiencing significant growth since our inception, we have been facing uncertainties and pressures since 2022 that have affected our growth and results of operations. While our sales resumed growth since 2024, and we expect this growth trend to continue in 2026 with the launches of our new products, our historical growth rate may not be indicative of our future performance.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future growth will depend on many factors, including launch of new products, effective marketing, successful entry into other international markets and operating efficiency. You should consider our business and future prospects in light of the risks and challenges we face in our industry, including, among other things, with respect to our ability to:</w:t>
      </w:r>
    </w:p>
    <w:p>
      <w:pPr>
        <w:spacing w:after="0" w:line="135" w:lineRule="exact"/>
        <w:rPr>
          <w:sz w:val="20"/>
          <w:szCs w:val="20"/>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safe, reliable and quality smart e-scooters;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well-recognized brand;</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expand our customer base;</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market our products and services;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and maintain our operational efficiency;</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protect our core technologies;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reliable, secure, high-performance and scalable technology infrastructure;</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talented employees;</w:t>
      </w:r>
    </w:p>
    <w:p>
      <w:pPr>
        <w:spacing w:after="0" w:line="198"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adapt to changing market conditions, including technological developments and changes in competitive landscape;</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navigate an evolving and complex regulatory environment;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suitable facilities to expand manufacturing capacity.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fail to address any or all of these risks and challenges, our business may be materially and adversely affected.</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assure you that we will be able to develop or ensure efficient, automated, low-cost manufacturing capability and processes, and reliable sources of component supply that will enable us to meet the quality, price, engineering, design and production standards, as well as the production volumes required to successfully mass-market our currently available products and future scooters. We may not be able to achieve similar results or grow at the same rate as we had in the past. As our business grows, we may adjust our product and service offerings. These adjustments may not achieve expected results and may have a material and adverse impact on our financial conditions and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Higher employee costs and inflation may adversely affect our business and our ability to achieve or maintain profitability.</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China’s overall economy and the average wage in mainland China have increased in recent years and are expected to grow. The average wage level for our employees has also increased in recent years. We expect that our employee costs, including wages and employee benefits, will continue to increase. Unless we are able to pass on these increased employee costs to those who pay for our products and services, our ability to achieve or maintain profitability and our results of operations may be materially and adversely affected.</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outsource our production labor needs to third-party labor service companies. Typically, we enter into agreements with labor service companies, pursuant to which labor service companies send their employees to work on our assembly and production lines. The labor service companies are responsible for entering into labor contracts with their employees and provide, among others, social benefits and bear costs relating to accidents or injuries happened at the work place in accordance with the laws and regulations of mainland China. We may be unable to enter into new agreements or extend existing agreements with them on terms and conditions acceptable to us, and therefore may need to contract with other third parties and incur additional labor costs. Despite our price resilience, the rising employee costs as a result of higher labor cost of our contract manufacturers and operation staff and increasing raw material price cannot be easily passed to end consumers in the form of higher retail prices due to competition in the electric two-wheeled vehicles market. Our ability to achieve or maintain profitability therefore may be adversely affected if labor cost and inflation continue to rise in the future.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and financing may not be available on terms acceptable to us, or at all.</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our cash and cash equivalents, restricted cash, term deposits and short-term investments will be sufficient to meet our current and anticipated needs for general corporate purposes for at least the next 12 months. We may, however, need additional cash resources in the future if we experience changes in business conditions or other developments. We may also need additional cash resources in the future if we find and wish to pursue opportunities for investment, acquisition, capital expenditure or similar actions. If we determine in the future that our cash requirements exceed the amount of cash and cash equivalents we have on hand, we may seek to issue equity or equity linked securities or obtain debt financing.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p>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seasonal and quarterly fluctuations, and if our sales fall below our forecasts, our overall financial condition and results of operations could be adversely affected.</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revenues and operating results have fluctuated in the past from quarter to quarter, due to, among others, seasonal factors. Our revenues have been higher in the third quarter each year primarily as a result of ideal weather conditions for riding e-scooters and have been lower in the first quarter each year primarily as a result of poor weather conditions. Accordingly, any shortfall in expected third-quarter revenues would adversely affect our annual operating results. Our advertising and promotion expenses tend to be event-driven. We typically conduct various advertising and promotional events when we launch new products. As a result, the costs relating to such marketing and promotional events may increase significantly in the relevant quarter, which may cause our results of operations and financial performance to fluctuate from quarter to quarter.</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note that, in general, scooter sales tend to decline over the winter season and we anticipate that our sales of currently available e-scooters and the upcoming new products may have similar seasonality. However, our operating results could suffer if we do not generate revenues consistent with our expectations for this seasonal demand because certain of our procurement are based on anticipated levels of annual revenues and past years’ pattern of reasonability. Accordingly, yearly or quarterly comparisons of our operating results may not be useful and our operating results in any particular period will not necessarily be indicative of the results to be expected for any future period.</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economic downturn or economic uncertainty may adversely affect consumer discretionary spending and demand for our products and services.</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products and services may be considered discretionary items for some consumers. Factors affecting the level of consumer spending for such discretionary items include general economic conditions, and other factors, such as consumer confidence in future economic conditions, fears of recession, the availability and cost of consumer credit, levels of unemployment and tax rates. As global economic uncertainty remains, trends in consumer discretionary spending also remain unpredictable and subject to reductions. Unfavorable economic conditions may lead consumers to delay or reduce purchases of our products and services and consumer demand for our products and services may not grow as we expect. Our sensitivity to economic cycles and any related fluctuation in consumer demand for our products and services may have an adverse effect on our operating results and financial condition.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 which could expose us to significant costs.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certain insurance policies to safeguard against various risks associated with our business and operations, including mainly property insurance and product liability insurance for models in the international markets and public liability insurance for models in the China market. However, we cannot assure you that our insurance coverage is sufficient to prevent us from any loss or that we will be able to successfully claim our losses under our current insurance policy on a timely basis, or at all, which may adversely affect our financial condition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options and other types of awards under our share incentive plan, which may result in increased share-based compensation expenses.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2016 and September 2018, our shareholders and board of directors approved the 2016 Global Share Incentive Plan and the 2018 Share Incentive Plan, respectively, to attract and retain the best available personnel, provide additional incentives to employees, directors and consultants, and promote the success of our business. The maximum aggregate number of ordinary shares that may be issued under the 2016 Global Share Incentive Plan, as amended in March 2018, or the Amended and Restated 2016 Plan, is 5,861,480 Class A ordinary shares. Under the 2018 Share Incentive Plan, the maximum aggregate number of ordinary shares available for issuance is 6,733,703 Class A ordinary shares, subject to certain annual increases. As of December 31, 2025, options to purchase 1,025,040 Class A ordinary shares and nil restricted share units had been granted and were outstanding under the Amended and Restated 2016 Plan, excluding options or restricted share units that were forfeited or canceled after the relevant grant dates. As of December 31, 2025, options to purchase 2,612,928 Class A ordinary shares and 7,670,528 restricted share units had been granted and were outstanding under the 2018 Share Incentive Plan. In 2023, 2024 and 2025, we recorded RMB47.7 million, RMB24.2 million and RMB27.7 million (US$4.0 million) in share-based compensation expenses, respectively.</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 granting of share-based awards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for highly skilled personnel is often intense and we may incur significant costs or be unsuccessful in attracting, integrating, or retaining qualified personnel to fulfill our current or future needs.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from time to time, experienced, and we expect to continue to experience, difficulty in hiring and retaining highly skilled employees with appropriate qualifications. In addition, if any of our senior management or key personnel joins a competitor or engages in a competing business, we may lose business, knowhow, trade secrets, distributors, business partners and key personnel. Furthermore, prospective candidates and existing employees often consider the value of the equity awards they receive in connection with their employment. Thus, our ability to attract or retain highly skilled employees may be adversely affected by declines in the perceived value of our equity or equity awards. Furthermore, there are no assurances that the number of shares reserved for issuance under our share incentive plans will be sufficient to grant equity awards adequate to recruit new employees and to compensate existing employees.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or may be subject to risks associated with strategic alliances or acquisitions.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entered into and may in the future enter into joint research and development agreements, co-branding agreements and strategic alliances with various third parties to further our business purpose from time to time. These alliances could subject us to a number of risks, including risks associated with sharing proprietary information, non-performance by the third party and increased expenses in establishing new strategic alliances, any of which may materially and adversely affect our business. We have limited ability to monitor or control the actions of these third parties and, to the extent any of these strategic third parties suffers negative publicity or harm to their reputation from events relating to their business, we may also suffer negative publicity or harm to our reputation by virtue of our association with any such third party.</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although we have no current acquisition plans, if appropriate opportunities arise, we may acquire additional assets, products, technologies or businesses that are complementary to our existing business. In addition to possible shareholders’ approval, we may also have to obtain approvals and licenses from the government authorities for the acquisitions and to comply with any applicable laws and regulations of mainland China, which could result in increased delay and costs, and may derail our business strategy if we fail to do so. Furthermore, past and future acquisitions and the subsequent integration of new assets and businesses into our own require significant attention from our management and could result in a diversion of resources from our existing business, which in turn could have an adverse effect on our business operations.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Moreover, the costs of identifying and consummating acquisitions may be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challenges in expanding our business and operations internationally and our ability to conduct business in international markets may be adversely affected by legal, regulatory, political and economic risks.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face challenges and risks associated with expanding our business and operations globally into new geographic markets and developing diversified sales channels and marketing strategies. Our products are exported to a number of geographical markets, such as Europe, the U.S. and Southeast Asia, and we plan to further expand our overseas sales in the future.</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expansion into new geographical areas and jurisdictions involves new risks and challenges associated with such new markets, such as obtaining permit to conduct commercial operation in these new geographical areas and jurisdictions. We may also need to adjust our pricing policies to adapt to local economic condition. Furthermore, our expansion into international markets will require us to respond timely and effectively to rapid changes in market conditions in the relevant countries and regions. Our success in international expansion partially depends on our ability to succeed in different legal, regulatory, economic, environmental, social, and political conditions which we have little control over. Our business operations in new geographical areas and jurisdictions may be disrupted by changes in local laws, regulations and policies. We cannot assure that we will be able to execute on our business strategy or that our product and service offerings will be successful in such markets.</w:t>
      </w:r>
    </w:p>
    <w:p>
      <w:pPr>
        <w:spacing w:after="0" w:line="16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tensions in international trade and rising international political tensions may adversely affect our business, financial condition, and results of operations.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recent years, there have been heightened trade and political tensions in international relations, particularly between the United States and China. These tensions have affected both diplomatic and economic ties between the two countries and created uncertainties to the international economy as a whole. Heightened tensions could reduce levels of trade, investments, technological exchanges, and other economic activities between major economies. The existing tensions and any further deterioration in the relationship between the United States and China and between other countries may have a negative impact on the general, economic, political, and social conditions around the globe, United States and China in particular, and thus adversely impact our business, financial condition, and results of operations.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 government has implemented policies restricting international trade and investment, such as tariffs, export controls, economic or trade sanctions, and foreign investment filing and approval requirements. These actions may materially and adversely affect international trade, global financial markets, and the stability of the global economic condition. For example, since early 2025, the United States has implemented significant changes to U.S. trade policy with China, including by imposing additional tariffs on Chinese imports. China has responded by imposing, and proposing to impose additional or higher tariffs on products imported from the United States, among other measures. There remains considerable uncertainty regarding future tariff rates and the trajectory of U.S.-China trade relations. It also remains uncertain whether increased tariffs and trade tensions will create further disruptions and uncertainties to the international trade and lead to a downturn to the global economy.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the United States government has taken efforts to limit the outbound U.S. investments to China. On August 9, 2023, the Biden administration of the United States released an executive order directing the Department of Treasury to create an outbound foreign direct investment review program that would require reporting on or (in more narrow circumstances) prohibit investments by U.S. persons involving “covered national security technologies and products.” On October 28, 2024, the Department of Treasury issued a final rule to implement the executive order, providing details on technical specifications and other aspects of the operative regulations, which came into effect on January 2, 2025. This is referred to as the Outbound Investment Rule. The Outbound Investment Rule imposes investment prohibitions and notification requirements on U.S. persons for a wide range of investments in entities associated with “countries of concern,” currently only China, that are engaged in activities relating to (i) semiconductors and microelectronics, (ii) quantum information technologies, and (iii) artificial intelligence systems. These entities are collectively defined as “Covered Foreign Persons.” U.S. persons subject to the Outbound Investment Rule are prohibited from making, or required to report, transactions involving Covered Foreign Persons that are defined as “covered transactions,” although the Outbound Investment Rule excludes some investments from the scope of covered transactions, including those in publicly traded securities. The Outbound Investment Rule introduces new hurdles and uncertainties for cross-border collaborations, investments, and funding opportunities of China-based issuers including us. We do not believe that Niu Technologies would be defined as a Covered Foreign Person under the Outbound Investment Rule because we do not engage in a “covered activity” (as defined in the Outbound Investment Rule) or otherwise meet the definition of Covered Foreign Persons provided in the Outbound Investment Rule. However, there is no assurance that the U.S. Department of Treasury will take the same view as ours. If we were to be deemed a “Covered Foreign Person,” and if U.S. persons were to engage in a “covered transaction” (as defined under the Outbound Investment Rule) that involves the acquisition of our equity interests, such U.S. persons may need to make a notification pursuant to the Outbound Investment Rule. In addition, even though U.S. persons’ acquisitions of publicly traded securities (such as our ADSs) will be exempted from the scope of covered transactions under the Outbound Investment Rule, the rule could still limit our ability to raise capital or contingent equity capital from U.S. investors given that the relevant laws, regulations, and policies continue to evolve and we cannot rule out the possibility of being deemed a Covered Foreign Person in the future due to different views taken by the U.S. Department of Treasury, potential amendments to the Outbound Investment Rule or the introduction of additional regulations. For example, on February 21, 2025, the White House released President Trump’s “America First Investment Policy” memorandum, outlining several initiatives to incentivize investment from U.S. allies and partners while restricting investments involving “foreign adversaries,” including China. Among other things, the policy aims to expand the industry sectors covered by the U.S. outbound investment regulations and supplement outbound restrictions through the imposition of sanctions. As of the date of this annual report, the proposed changes under the America First Investment Policy are not implemented. In addition, on December 18, 2025, the Comprehensive Outbound Investment National Security Act of 2025, or the COINS Act, was enacted as part of the National Defense Authorization Act for Fiscal Year 2026. The COINS Act largely preserves the core framework of the Outbound Investment Rule while expanding its scope and coverage in certain respects such as expanding covered activities in high-performance computing and supercomputing and hypersonic systems and including more countries of concern. The COINS Act will not become effective until the U.S. Department of the Treasury issues implementing regulations, which must be promulgated through notice-and-comment rulemaking and no later than March 13, 2027. Accordingly, the Treasury may amend, expand or otherwise modify existing outbound investment prohibitions and restrictions pursuant to the COINS Act. If our ability to raise such capital is significantly and negatively affected, it could be detrimental to our business, financial condition and prospects, and our ADSs may significantly decline in value.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Rising political tensions could reduce levels of trades, investments, technological exchanges, and other economic activities across the globe, which would have a material adverse effect on global economic conditions and the stability of global financial markets. Any of these factors could have a material adverse effect on the demand of our vehicles, and thus negatively affect our business, prospects,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and operating performance may be adversely affected by epidemics or other public health crises.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financial and operating performance may be materially and adversely affected by the outbreak of epidemics or other public health crises. For example, during the COVID-19 pandemic between the end of 2019 and the beginning of 2023, government-imposed measures such as travel restrictions, extended holidays and delays of business resumption, interrupted normal operation of businesses and adversely affected and slowed down economic development. Many aspects of our operations and our financial performance were negatively affected as a result. Any prolonged occurrence or recurrence of these health epidemics or other adverse public health developments in China or any of the major markets in which we operate may have a material adverse effect on our business and operations. Our business could also experience a slowdown or temporary suspension in production in geographic locations impacted. To the extent any pandemic adversely affects our business and financial results, it may also have the effect of heightening many of the other risks described in this annual report.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changing laws and regulations regarding regulatory matters, corporate governance and public disclosure that have increased both our costs and the risk of non-compliance.</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rules and regulations by various governing bodies, including, for example, the SEC, which is charged with the protection of investors and the oversight of companies whose securities are publicly traded, and the various regulatory authorities in China and the Cayman Islands,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revenue-generating activities to compliance activities.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in the electric two-wheeled vehicles industry. We are subject to the laws of mainland China in addition to the laws of the foreign countries in which we operate and to which we sell our products. Changing laws and regulations regarding regulatory matters, corporate governance and public disclosure may result in continuing uncertainty regarding compliance matters and additional costs necessitated by ongoing revisions to our disclosure and governance practices. In addition, we may face operational issues that could have a material adverse effect on our reputation, business and results of operations, if we fail to address certain factors, including but not limited to the following:</w:t>
      </w:r>
    </w:p>
    <w:p>
      <w:pPr>
        <w:spacing w:after="0" w:line="160" w:lineRule="exact"/>
        <w:rPr>
          <w:sz w:val="20"/>
          <w:szCs w:val="20"/>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increased resources to manage regulatory compliance across our international businesses;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privacy laws and data security laws and compliance costs across different legal systems;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restrictions and barriers on the transfer of data between different jurisdictions; and</w:t>
      </w:r>
    </w:p>
    <w:p>
      <w:pPr>
        <w:spacing w:after="0" w:line="198"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complex and potentially adverse customs, import/export laws, tax rules and regulations or other trade barriers or restrictions related compliance obligations and consequences of non-compliance, and any new developments in these areas.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of our overseas operations, or our associates or agents, violate such laws and regulations, we could become subject to sanctions or other penalties, which could have a material and adverse effect on our business, financial condition, results of operations and prospects.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Chinese and international laws and regulations regarding data privacy and cybersecurity. Failure to protect confidential information of our customers and network against security breaches could damage our reputation and brand and substantially harm our business and results of operations.</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Personally identifiable and other confidential information is increasingly subject to legislation and regulations in China and numerous foreign jurisdictions. The PRC governmental authorities have enacted a series of laws and regulations relating to the protection of personal information and/or the supervision over data processing activities, under which certain information or data processors are required to comply with an array of personal information and data protection requirements, including for example, to clearly indicate the purposes, methods and scope of any information collection and usage, to obtain appropriate user consent and to establish user information protection systems with appropriate remedial measures. However, this regulatory framework for privacy issues in China and worldwide is rapidly evolving and is likely to remain uncertain for the foreseeable future. For example, on June 10, 2021, the Standing Committee of the PRC National People’s Congress issued the Data Security Law to regulate data processing activities and security supervision in mainland China, which came into effect on September 1, 2021. The Data Security Law provides a national data security review system, under which data processing activities that affect or may affect national security shall be reviewed. Moreover, on August 20, 2021, the Standing Committee of the PRC National People’s Congress promulgated the Personal Information Protection Law, effective on November 1, 2021, which further detailed the general rules and principles on personal data processing and further increase the potential liability of personal data processor. Given that many of the laws and regulations of mainland China regarding data privacy and cybersecurity are constantly evolving, it is uncertain how they will be interpreted or enforced. For more information, see “Item 4. Information on the Company—B. Business Overview—Regulations.”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the PRC government has taken steps to limit the method and manner that the internet companies may apply when using the algorithms. For instance, the CAC, together with eight other government authorities, jointly issued the Guidelines on Strengthening the Comprehensive Regulation of Algorithms for Internet Information Services on September 17, 2021, which provides that daily monitoring of data use, application scenarios and effects of algorithms shall be carried out by the regulators, and security assessments of algorithms shall be conducted by the regulators. The guidelines also provide that an algorithm filing system shall be established, and classified security management of algorithms shall be promoted. In addition, on December 31, 2021, the CAC, the Ministry of Industry and Information Technology, or the MIIT, the Ministry of Public Security and the Ministry of State Security promulgated the Administrative Provisions on Internet Information Service Algorithm Recommendation, which came into effect on March 1, 2022. These provisions stipulate that algorithm recommendation service providers shall inform users of their provision of algorithm recommendation services in a conspicuous manner, and publicize the basic principles, purpose intentions and main operating mechanisms of algorithm recommendation services in an appropriate manner. For more information, see “Item 4. Information on the Company—B. Business Overview—Regulations.”</w:t>
      </w:r>
    </w:p>
    <w:p>
      <w:pPr>
        <w:spacing w:after="0" w:line="1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on December 28, 2021, the CAC and other twelve PRC regulatory authorities jointly revised and promulgated the Measures for Cybersecurity Review, or the Cybersecurity Review Measures, which came into effect on February 15, 2022. Pursuant to the Cybersecurity Review Measures, besides the procurement of network products and services by critical information infrastructure operators, any data processing activities by network platform operators that affects or may affect national security shall be subject to the cybersecurity review as well. In accordance with the Cybersecurity Review Measures, operators mastering personal information of more than one million users must apply to the Cybersecurity Review Office for cybersecurity review when they seek for listing in a foreign country. However, the Cybersecurity Review Measures and the Regulations on the Network Data Security remain unclear on whether the requirements will be applicable to companies that have been listed in the United States. We cannot predict the impact of the Cybersecurity Review Measures and the Regulations on the Network Data Security, if any, at this stage, and we will closely monitor and assess any development in the rule-making process. Furthermore, on July 7, 2022, the CAC promulgated the Measures on Security Assessment of Cross-border Data Transfer, or the Data Export Measures, which became effective on September 1, 2022. The Data Export Measures require that any data processor which processes or exports personal information exceeding certain volume threshold under such measures shall apply for security assessment by the CAC before transferring any personal information abroad. The security assessment requirement also applies to any transfer of important data outside of China. Additionally, on November 18, 2022, the CAC and the SAMR issued the Implementation Rules for Personal Information Protection Certification, which came into immediate effect. These rules provide important guidance on obtaining a personal information certification for the lawful cross-border transfer of personal information under the Personal Information Protection Law. The CAC also published various regulations in 2023 that offer important guidance on relying on standard contracts for transferring personal information out of the PRC, as well as on the applicable filing requirements. Due to changes in the cross-border data transfer regulatory landscape, we have been required to continuously review our existing data protection compliance framework. This review encompasses conducting data mapping exercises, obtaining separate consents from individuals, applying for security assessments with the CAC, and entering into standard contracts with our overseas affiliates for the transfer of personal information outside of the PRC. The CAC has also issued the First Edition, the Second Edition and the Third Edition of Guidelines for Application for Security Assessment of Outbound Data Transfer successively on August 31, 2022, March 22, 2024 and June 27, 2025, respectively, illustrating the specific requirements for declaration of the cross-border data security assessment, such as methods, processes and materials, and optimizes and simplifies the relevant materials that data processors need to submit.</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24, 2024, the State Council promulgated the Regulations on Network Data Security, which came into effect on January 1, 2025. The Regulations on Network Data Security stipulate certain requirements on the processing, protecting, and utilizing of network data, and further shed light on the protection of personal information, management of cross-border security of network data, and obligations of network platform service providers. Notably, the requirements therein include that, where network data processing activities carried out by a network data processor affect or may affect national security, national security review shall be conducted in accordance with relevant PRC regulations, without providing further explanation or interpretation for “affect or may affect national security.” If we were deemed having carried our any network data processing activities that “affect or may affect national security”, we may be subject to the national security review under article 13 of the Regulations on Network Data Security, failing which may subject us to fines, penalties, suspension of relevant business and revocation of relevant business permits, and thus our business operations may be adversely affected.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12, 2025, the CAC published the Personal Information Protection Compliance Audit Management Measures, which will take effect on May 1, 2025. These measures mandate regular compliance audits for personal information handlers, with those handling data of over 10 million individuals required to audit biennially. Audits may be conducted by professional organizations, especially when significant risks or large-scale data breaches occur. Personal information handlers must support the audit process, rectify issues, and report to the competent departments, with additional oversight structures for large internet platforms.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14, 2025, the CAC promulgated Measures for the Certification for Outbound Cross-Border Transfer of Personal Information, which became effective on January 1, 2026. These measures constitute a key pillar of the compliance framework for cross-border personal data flows. It provides a pathway for protection certification by third-party professional institutions approved by the Certification and Accreditation Administration of the People’s Republic of China for scenarios that do not meet the conditions for security assessment reporting but require standard contract filing. By establishing a certification mechanism with a three-year validity period, it aims to offer enterprises a relatively stable and predictable cross-border compliance option, promoting lawful and orderly data flows while ensuring security.</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28, 2025, the SCNPC promulgated Decision of the Standing Committee of the National People’s Congress on Revising the Cybersecurity Law of the People’s Republic of China, which became effective on January 1, 2026. The amended Cybersecurity Law comprehensively strengthen the legal liability framework, significantly increasing fines for various violations and providing robust grounds for regulatory enforcement. Concurrently, the amendments proactively respond to technological trends by enshrining the principle of state support for AI security governance in the general provisions for the first time. It also explicitly authorizes necessary countermeasures against foreign activities that threaten China’s cybersecurity, reflecting a top-level design that balances development and security.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have not been involved in any investigations, security assessment or cybersecurity reviews by the CAC, and we had not received any inquiry, notice, warning, or sanction in such respect. If a cybersecurity review for any of our activities is required, we will actively cooperate with the CAC to conduct such cybersecurity review.</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failure, or perceived failure, by us, our employees or partners to maintain the security of our user data or to comply with applicable PRC or foreign privacy, data security and personal information protection laws, regulations, policies, contractual provisions, industry requirements and other requirements may result in civil or regulatory liability. The ensuing consequences may include governmental or data protection authority enforcement actions and investigations, fines, penalties, enforcement orders requiring us to cease operating in a certain way, revoking our business permits or business licenses, litigation or adverse publicity, which may require us to expend significant resources in responding to and defending allegations and claims. Furthermore, claims or allegations that we have failed to adequately protect our users’ data, or otherwise violated applicable privacy and data security laws, regulations, policies, contractual provisions, industry standards or other requirements, may result in damage to our reputation and a loss of confidence in us by our users or our partners, potentially causing us to lose users, other business partners and revenues, which could have a material adverse effect on our business, financial condition and results of operations.</w:t>
      </w:r>
    </w:p>
    <w:p>
      <w:pPr>
        <w:spacing w:after="0" w:line="1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we gradually expand into international markets, we may be subject to laws and regulations of other countries regarding cybersecurity, information security, privacy and data protection. We strive to comply with local laws and regulations in markets where we have operations. For example, the GDPR of the European Union imposes obligations on companies regarding the handling of personal data and provides certain individual privacy rights to persons whose data is stored. The GDPR requires companies to submit personal data breach notifications to designated European privacy regulator in each country they have business operations, and provides significant penalties for non-compliance with the notification obligation as well as other requirements of the GDPR. For another instance, some countries are considering or have passed legislation implementing data protection requirements or requiring local storage and processing of data or similar requirements, which, if adopted and implemented, could increase the cost and complexity of delivering our services. In addition, wherever we operate, we could be subject to new laws or regulations or the interpretation and application of existing consumer and data protection laws or regulations. These new laws, regulations and interpretations are often uncertain and in flux and may be inconsistent with our practices. We cannot guarantee that we will be able to maintain compliance at all times, especially in light of the fact that laws and regulations on cybersecurity and data protection are evolving. Our launch of new products that we may take may also subject us to additional laws, regulations, or other government scrutiny. Complying with these new or additional laws, regulations and requirements could cause us to incur substantial costs or require us to change our business practices in a manner materially adverse to our business.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PRC government finds that the agreements that establish the structure for operating some of our operations in mainland China do not comply with the regulations of mainland China relating to the relevant industries, or if these regulations or the interpretation of existing regulations change or are interpreted differently in the future, we could be subject to severe penalties or be forced to relinquish our interests in those operations.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Foreign ownership of certain of our businesses including value-added telecommunication services is subject to restrictions under current PRC laws and regulations. For example, foreign investors in general are not allowed to own more than 50% of the equity interests in a value-added telecommunication service provider (excluding e-commerce, domestic multi-party communications, data collection and transmission services and call centers).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Cayman Islands exempted company and our mainland China subsidiaries are considered foreign-invested enterprises. Accordingly, none of these PRC subsidiaries is eligible to provide value-added telecommunication services or provide certain other restricted services related to our businesses. As a result, we conduct or will conduct such business activities through the VIE and its subsidiaries in mainland China.</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entered into a series of contractual arrangements with the VIE and its shareholders, which enable us to (i) conduct the business operations of the VIE, (ii) receive substantially all of the economic benefits of the VIE, and (iii) have an exclusive option to or designate any third party to purchase all or part of the equity interests and assets in the VIE to the extent permitted by the laws of mainland China. As a result of these contractual arrangements, we conduct the business operations and are the primary beneficiary of the VIE and hence consolidate its financial results and its subsidiaries into our consolidated financial statements under U.S. GAAP. See “Item 4. Information on the Company—C. Organizational Structure” for further details.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Investors in our ADSs are not purchasing equity interest in the VIE in mainland China but instead are purchasing equity interest in a Cayman Islands holding company. If the PRC government deems that our contractual arrangements with the variable interest entity do not comply with the regulatory restrictions on foreign investment in the relevant industries in mainland China, or if these regulations or the interpretation of existing regulations change or are interpreted differently in the future, we could be subject to severe penalties or be forced to relinquish our interests in those operations, and our ADSs may decline in value or become worthless, if we are unable to assert contractual control over the assets of the VIE and its subsidiaries which contributes to most of our revenues in 2025. Our holding company in the Cayman Islands, the VIE, and investors of our company face uncertainty about potential future actions by the PRC government that could affect the enforceability of the contractual arrangements with the variable interest entity and, consequently, significantly affect the financial performance of the VIE and our company as a group.</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opinion of our PRC legal counsel, (i) the ownership structures of the VIE in mainland China and our WFOE are not in violation of applicable laws and regulations of mainland China currently in effect; and (ii) the contractual arrangements between our WFOE, the VIE and its shareholders governed by the laws of mainland China are valid, binding and enforceable, and will not result in any violation of applicable laws and regulations of mainland China currently in effect. However, our PRC legal counsel has also advised us that there are uncertainties regarding the interpretation and application of current and future laws, regulations and rules of mainland China. Accordingly, the PRC regulatory authorities may take a view that is contrary to the opinion of our PRC legal counsel. It is uncertain whether any new laws or regulations of mainland China relating to variable interest entity structures will be adopted or, if adopted, what they would provide. If we or the VIE are found to be in violation of any existing or future laws or regulations of mainland China, or fail to obtain or maintain any of the required permits or approvals, the PRC regulatory authorities would have broad discretion to take action in dealing with such violations or failures, including, but not limited to:</w:t>
      </w:r>
    </w:p>
    <w:p>
      <w:pPr>
        <w:spacing w:after="0" w:line="154" w:lineRule="exact"/>
        <w:rPr>
          <w:sz w:val="20"/>
          <w:szCs w:val="20"/>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the business license and/or operating licenses of such entities;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or placing restrictions or onerous conditions on our operations;</w:t>
      </w:r>
    </w:p>
    <w:p>
      <w:pPr>
        <w:spacing w:after="0" w:line="198"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fines, confiscating the income from the VIE, or imposing other requirements with which we or the VIE may not be able to comply;</w:t>
      </w:r>
    </w:p>
    <w:p>
      <w:pPr>
        <w:spacing w:after="0" w:line="12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restructure our ownership structure or operations, including terminating the contractual arrangements with the VIE and deregistering the equity pledges of the VIE, which in turn would affect our ability to consolidate, derive economic interests from, or conduct the business operations of the VIE;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prohibiting our ability to finance our business and operations in mainland China.</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imposition of any of these penalties would result in a material and adverse effect on our ability to conduct our business. In addition, it is unclear what impact the PRC government actions would have on us and on our ability to consolidate the financial results of the VIE in our consolidated financial statements, if the PRC government authorities were to find our legal structure and contractual arrangements to be in violation of the laws and regulations of mainland China. If the imposition of any of these government actions causes us to lose our right to direct the activities of the VIE or our right to receive the economic benefits and residual returns from the VIE and we are not able to restructure our ownership structure and operations in a satisfactory manner, we would no longer be able to consolidate the financial results of the VIE in our consolidated financial statements. Either of these results, or any other significant penalties that might be imposed on us in this event, would have a material adverse effect on our financial condition and results of operations.</w:t>
      </w:r>
    </w:p>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exist with respect to the interpretation and implementation of the newly enacted Foreign Investment Law of the PRC and how it may impact the viability of our current corporate structure, corporate governance and business operations.</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15, 2019, the National People’s Congress adopted the Foreign Investment Law of the PRC, which became effective on January 1, 2020 and replaced the Wholly Foreign-Invested Enterprise Law of the PRC, the Sino-Foreign Cooperative Joint Venture Enterprise Law of the PRC and the Sino-Foreign Equity Joint Venture Enterprise Law of the PRC, together with their implementation rules and ancillary regulations. On December 31, 2019, the State Council published the Implementation Rules of the Foreign Investment Law, which took effect on January 1, 2020.</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Foreign Investment Law embodies an expected regulatory trend in mainland China to rationalize its foreign investment regulatory regime in line with prevailing international practice and the legislative efforts to unify the corporate legal requirements for both foreign and domestic investments. However, since it is relatively new, uncertainties still exist in relation to its interpretation and implementation. For example, the Foreign Investment Law removes all references to the terms of “de facto control” or “contractual control” as defined in the draft published in 2015 by the Ministry of Commerce, and adds a catch-all clause to the definition of “foreign investment” so that foreign investment, by its definition, includes “investments made by foreign investors in China through other means defined by other laws or administrative regulations or provisions promulgated by the State Council” without further elaboration on the meaning of “other means.” The Implementation Rules of the Foreign Investment Law also remain silent on contractual arrangements. It leaves leeway for the future legislations promulgated by the State Council to provide for contractual arrangements as a form of foreign investment. It is therefore uncertain whether our corporate structure will be seen as violating the foreign investment rules as we are currently leverage the contractual arrangement to operate certain businesses in which foreign investors are prohibited from or restricted to investing.</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Foreign Investment Law grants national treatment to foreign invested entities, except for those foreign invested entities that operate in industries deemed to be either “restricted” or “prohibited” in the “negative list.” The current Special Administrative Measures for Market Access of Foreign Investment (Negative List) (2024 Edition) was issued by the National Development and Reform Commission, or the NDRC, and the Ministry of Commerce on September 6, 2024 and took effective on November 1, 2024. Furthermore, on December 19, 2020, the NDRC and the Ministry of Commerce jointly issued the Measures for Security Review of Foreign Investment, effective on January 18, 2021, which provides detailed guidance regarding security review of foreign investment that has a potential impact on national security. However, there remain a number of unclear issues under the Measures, including but not limited to its view towards contractual arrangements. As the Measures was only recently issued, there are very few interpretations, implementation guidance or precedents to follow in practice. If future legislations prescribed by the State Council mandate further actions to be taken by companies with respect to existing contractual arrangement, we may face substantial uncertainties as to whether we can complete such actions in a timely manner, or at all. Failure to take timely and appropriate measures to comply with any of these or similar regulatory compliance requirements could materially and adversely affect our current corporate structure, corporate governance and business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contractual arrangements with the VIE and its shareholders for a large portion of our business operations, which may not be as effective as direct ownership.</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VIE contributed most of our consolidated total revenues in 2023, 2024 and 2025. We have relied and expect to continue to rely on contractual arrangements with the VIE and its shareholders to conduct our business. These contractual arrangements may not be as effective as direct ownership in the VIE. For example, the VIE and its shareholders could breach their contractual arrangements with us by, among other things, failing to conduct their operations in an acceptable manner or taking other actions that are detrimental to our interests. The shareholders of the VIE have pledged all of their equity interests in the VIE to our WFOE pursuant to the equity pledge agreement under the contractual arrangements. An equity pledge agreement becomes effective between the parties upon execution. In November 2024, we completed the registration of the equity pledge under the third amended and restated equity pledge agreement with the local office of the State Administration of Market Regulation in accordance with the PRC Civil Codes.</w:t>
      </w:r>
    </w:p>
    <w:p>
      <w:pPr>
        <w:spacing w:after="0" w:line="1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had direct ownership of the VIE, we would be able to exercise our rights as a shareholder to effect changes in the board of directors of the VIE, which in turn could implement changes, subject to any applicable fiduciary obligations, at the management and operational level. However, under the current contractual arrangements, we rely on the performance by the VIE and its shareholders of their obligations under the contracts to conduct the business operations of the VIE. However, the shareholders of the VIE may not act in the best interests of our company or may not perform their obligations under these contracts. Such risks exist throughout the period in which we intend to operate certain portions of our business through the contractual arrangements with the VIE. If any disputes relating to these contracts remains unresolved, we will have to enforce our rights under these contracts through the operations of law and arbitration, litigation and other legal proceedings in mainland China and therefore will be subject to uncertainties in the PRC legal system. See “— Any failure by the VIE or its shareholders to perform their obligations under our contractual arrangements with them would have a material and adverse effect on our business.” Meanwhile, there are very few precedents and little formal guidance as to how contractual arrangements in the context of a VIE should be interpreted or enforced by the courts of mainland China. Should legal actions become necessary, we cannot guarantee that the court will rule in favor of the enforceability of the VIE contractual arrangements. In the event we are unable to enforce these contractual arrangements, or if we suffer significant delay or other obstacles in the process of enforcing these contractual arrangements, we may not be able to conduct the business operations of the VIE, and our ability to conduct our business may be materially adversely affected. Therefore, our contractual arrangements with the VIE may not be as effective as direct ownership.</w:t>
      </w:r>
    </w:p>
    <w:p>
      <w:pPr>
        <w:spacing w:after="0" w:line="16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the ability to use and enjoy assets held by the VIE and its subsidiaries that are important to our business if the VIE and its subsidiaries declare bankruptcy or become subject to a dissolution or liquidation proceeding.</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VIE and its subsidiaries hold assets that are important to our operations, and they contributed most of our consolidated total revenues in 2023, 2024 and 2025. Under our contractual arrangements, the shareholders of the VIE may not voluntarily liquidate the VIE or approve it to sell, transfer, mortgage or dispose of its assets or legal or beneficial interests exceeding certain threshold in the business in any manner without our prior consent. However, in the event that the shareholders breach this obligation and voluntarily liquidate the VIE, or the VIE declares bankruptcy, or all or part of its assets become subject to liens or rights of third-party creditors, we may be unable to continue some or all of our operations, which would materially and adversely affect our business, financial condition and results of operations. Furthermore, if the VIE or its subsidiaries undergo a voluntary or involuntary liquidation proceeding, their shareholders or unrelated third-party creditors may claim rights to some or all of its assets, hindering our ability to operate our business, which could materially and adversely affect our business, financial condition and results of operations.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by the VIE or its shareholders to perform their obligations under our contractual arrangements with them would have a material and adverse effect on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refer to the shareholders of the VIE as its nominee shareholders because although they remain the holders of equity interests on record in each of the VIE, pursuant to the terms of the power of attorney, each of such shareholders has irrevocably authorized our company to exercise his, her or its rights as a shareholder of the VIE. However, if the VIE or its shareholders fail to perform their respective obligations under the contractual arrangements, we may have to incur substantial costs and expend additional resources to enforce such arrangements. We may also have to rely on legal remedies under the laws of mainland China, including seeking specific performance or injunctive relief, and claiming damages, which may not be enforceable under the laws of mainland China. For example, if the shareholders of the VIE refuse to transfer their equity interest in the VIE to us or our designee if we exercise the purchase option pursuant to these contractual arrangements, or if they otherwise act in bad faith toward us, then we may have to take legal actions to compel them to perform their contractual obligations.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All of the agreements under our contractual arrangements are governed by the laws of mainland China and provide for the resolution of disputes through arbitration in China. Accordingly, these contracts would be interpreted in accordance with the laws of mainland China and any disputes would be resolved in accordance with the legal procedures of mainland China. The legal system in the PRC is developing and rapidly evolving. As a result, uncertainties in the PRC legal system could limit our ability to enforce these contractual arrangements. See “—Risks Related to Doing Business in China—Uncertainties in the interpretation and enforcement of the laws and regulations of mainland China could limit the legal protections available to you and us.” Meanwhile, there are very few precedents and little formal guidance as to how contractual arrangements in the context of a VIE should be interpreted or enforced under the laws of mainland China. There remain significant uncertainties regarding the ultimate outcome of such arbitration should legal action becomes necessary. In addition, under the laws of mainland China, rulings by arbitrators are final, parties cannot appeal the arbitration results in courts, and if the losing parties fail to carry out the arbitration awards within a prescribed time limit, the prevailing parties may only enforce the arbitration awards in the courts of mainland China through arbitration award recognition proceedings, which would require additional expenses and delay. In the event we are unable to enforce these contractual arrangements, or if we suffer significant delays or other obstacles in the process of enforcing these contractual arrangements, we may not be able to conduct the business operations of the VIE, and our ability to conduct our business may be negatively affected.</w:t>
      </w:r>
    </w:p>
    <w:p>
      <w:pPr>
        <w:spacing w:after="0" w:line="15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shareholders of the VIE may have potential conflicts of interest with us, which may materially and adversely affect our business and financial condition.</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Currently, each of Token Yilin Hu, Changlong Sheng and Yi’nan Li holds 89.74%, 5.26% and 5.00% of the equity interest in the VIE, respectively. The shareholders of the VIE may have potential conflicts of interest with us. These shareholders may breach, or cause the VIE to breach, or refuse to renew, the existing contractual arrangements we have with them and the VIE, which would have a material and adverse effect on our ability to conduct the business operations of the VIE and receive economic benefits from them. For example, the shareholders may be able to cause our agreements with the VIE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Currently, we do not have any arrangements to address potential conflicts of interest between these shareholders and our company, except that we could exercise our purchase option under the third amended and restated exclusive option agreements with these shareholders to request them to transfer all of their equity interests in the VIE to a mainland China entity or individual designated by us, to the extent permitted by the laws of mainland China. The shareholders of the VIE have executed powers of attorney to appoint our company to vote on their behalf and exercise voting rights as shareholders of the VIE. If we cannot resolve any conflict of interest or dispute between us and the shareholders of the VIE, we would have to rely on legal proceedings, which could result in disruption of our business and subject us to substantial uncertainty as to the outcome of any such legal proceedings.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shareholders of the VIE may be involved in personal disputes with third parties or other incidents that may have an adverse effect on their respective equity interests in the VIE and the validity or enforceability of our contractual arrangements with its shareholders. For example, in the event that any of the shareholders of the VIE divorces his or her spouse, the spouse may claim that the equity interest of the VIE held by such shareholder is part of their community property and should be divided between such shareholder and his or her spouse. If such claim is supported by the court, the relevant equity interest may be obtained by the shareholder’s spouse or another third party who is not subject to obligations under our contractual arrangements, which could affect our ability to conduct the business operations of the VIE. Similarly, if any of the equity interests of the VIE is inherited by a third party with whom the current contractual arrangements are not binding, we could lose our ability to conduct the business operations of the VIE or have to maintain such ability by incurring unpredictable costs, which could cause significant disruption to our business and operations and harm our financial condition and results of operations.</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under our current contractual arrangements, (i) the spouse of each of the shareholders of the VIE has executed a spousal consent letter, under which the spouse agrees that he or she will not raise any claims against the equity interest, and will take every action to ensure the performance of the contractual arrangements, and (ii) it is expressly provided that the rights and obligations under the contractual agreements shall be equally effective and binding on the heirs and successors of the parties thereto, and the VIE shall not assign or delegate its rights and obligations under the contractual agreements to third parties without our prior consent, we cannot assure you that these undertakings and arrangements will be complied with or effectively enforced. In the case any of them is breached or becomes unenforceable and leads to legal proceedings, it could disrupt our business, distract our management’s attention and subject us to substantial uncertainties as to the outcome of any such legal proceedings.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Contractual arrangements in relation to the VIE may be subject to scrutiny by the PRC tax authorities and they may determine that we or the VIE owes additional taxes, which could negatively affect our financial condition and the value of your investment.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applicable laws and regulations of mainland China, arrangements and transactions among related parties may be subject to audit or challenge by the PRC tax authorities. We could face material and adverse tax consequences if the PRC tax authorities determine that the VIE contractual arrangements were not entered into on an arm’s length basis in such a way as to result in an impermissible reduction in taxes under applicable laws, rules and regulations of mainland China, and adjust the income of the VIE in the form of a transfer pricing adjustment. A transfer pricing adjustment could, among other things, result in a reduction of expense deductions recorded by the VIE for mainland China tax purposes, which could increase our tax expenses. In addition, the PRC tax authorities may impose late payment fees and other penalties on the VIE for the adjusted but unpaid taxes according to the applicable regulations. Our financial position could be materially and adversely affected if the VIE’s tax liabilities increase or if it is required to pay late payment fees and other penalties.</w:t>
      </w:r>
    </w:p>
    <w:p>
      <w:pPr>
        <w:spacing w:after="0" w:line="36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chops of our mainland China subsidiaries and the VIE are not kept safely, are stolen or are used by unauthorized persons or for unauthorized purposes, the corporate governance of these entities could be severely and adversely compromised.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mainland China, a company chop or seal serves as the legal representation of the company towards third parties even when unaccompanied by a signature. Each legally registered company in mainland China is required to maintain a company chop, which must be registered with the local Public Security Bureau. In addition to this mandatory company chop, companies may have several other chops which can be used for specific purposes. The chops of our mainland China subsidiaries and the VIE are generally held securely by personnel designated or approved by us in accordance with our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In addition, if the chops are misused by unauthorized persons, we could experience disruption to our normal business operations. We may have to take corporate or legal action, which could involve significant time and resources to resolve while distracting management from our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and adverse effect on our business and results of operations.</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Most of our revenues are expected to be derived in mainland China in the near future and most of our operations, including all of our manufacturing, is conducted in mainland China. Accordingly, our results of operations, financial condition and prospects are influenced by economic, political and legal developments in China. China’s economy differs from the economies of most developed countries in many respects, including with respect to the level of development, growth rate, control of foreign exchange and allocation of resources. The PRC government has significant authority to exert influence on the ability of a China-based company, such as us, to conduct its business. Therefore, investors of our company and our business face potential uncertainty from China.</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global macroeconomic environment faces numerous challenges. The growth rate of the Chinese economy has been slowing since 2010 and the Chinese population began to decline in 2022. The Russia-Ukraine conflict, the Hamas-Israel conflict, the conflict in the Persian Gulf and surrounding areas as far west as Israel and Lebanon, and the restrictions at various times on shipping through the straits of Hormuz and the Red Sea have heightened geopolitical tensions across the world. The impact of the regional conflicts has contributed to increases in food and energy prices and thus to inflation more generally, with the potential for even more serious consequences if oil and gas facilities are destroyed or shipping is affected for an extended period of time. There have also been concerns about the relationship between China and other countries which may potentially have economic effects. In particular, there is significant uncertainty about the future relationship between the United States and China with respect to a wide range of issues including trade policies, treaties, government regulations and tariffs. Economic conditions in China are sensitive to global economic conditions, as well as changes in domestic economic and political policies and the expected or perceived overall economic growth rate in China. As a result, any severe or prolonged slowdown in the global or Chinese economy may materially and adversely affect our business, results of operations and financial condition.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filing, approval or other administration requirements of the CSRC or other PRC government authorities may be required in connection with our offshore offerings under PRC law, and, if required, we cannot predict whether or for how long we will be able to complete such filing, obtain such approval or meet such requirements.</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Regulations on Mergers and Acquisitions of Domestic Enterprises by Foreign Investors, adopted by six PRC regulatory agencies in 2006 and amended in 2009, or the M&amp;A Rules, require an overseas special purpose vehicle formed for listing purposes through acquisitions of mainland China domestic companies and controlled by mainland China persons or entities to obtain the approval of the CSRC prior to the listing and trading of such special purpose vehicle’s securities on an overseas stock exchange. The interpretation and application of the regulations remain unclear, and our offshore offerings may ultimately require approval of the CSRC. If the CSRC approval is required, it is uncertain whether we can or how long it will take us to obtain the approval and, even if we obtain such CSRC approval, the approval could be rescinded. Any failure to obtain or delay in obtaining the CSRC approval for any of our offshore offerings, or a rescission of such approval if obtained by us, would subject us to sanctions imposed by the CSRC or other PRC regulatory authorities, which could include fines and penalties on our operations in mainland China, restrictions or limitations on our ability to pay dividends outside of mainland China, and other forms of sanctions that may materially and adversely affect our business, financial condition, and results of operations.</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17, 2023, the CSRC promulgated the Overseas Listing Trial Measures, which became effective on March 31, 2023. The Overseas Listing Trial Measures comprehensively improve and reform the existing regulatory regime for overseas offering and listing of mainland China domestic companies’ securities and regulate both direct and indirect overseas offering and listing of mainland China domestic companies’ securities by adopting a filing-based regulatory regime.</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According to the Overseas Listing Trial Measures, (i) a mainland China domestic company that seeks to offer or list securities overseas, both directly and indirectly, should fulfill the filing procedure and report certain information to the CSRC; if a mainland China domestic company fails to complete the filing procedure or conceals any material fact or falsifies any major content in its filing documents, such company may be subject to administrative penalties, such as rectification orders, warnings and fines, and its controlling shareholders, actual controllers, the person directly in charge and other directly liable persons may also be subject to administrative penalties, such as warnings and fines; (ii) if such company meets both of the following conditions, the overseas offering and listing shall be determined as an indirect overseas offering and listing by a mainland China domestic company: (a) any of the total assets, net assets, revenues or profits of the domestic operating entities of the company in the most recent fiscal year account for more than 50% of the corresponding figure in the company’s audited consolidated financial statements for the same period; (b) its major operational activities are carried out in mainland China or its main places of business are located in mainland China, or the senior managers in charge of operation and management of the company are mostly PRC citizens or have their usual place(s) of residence located in mainland China. The Overseas Listing Trial Measures require subsequent reports to be filed with the CSRC upon the occurrence of material events, such as change of control or voluntary or forced delisting of the companies which have completed overseas offerings and listings.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the same day, the CSRC also held a press conference for the release of the Overseas Listing Trial Measures and issued the Notice on Administration for the Filing of Overseas Offering and Listing by Domestic Companies, which, among others, clarifies that (i) prior to the effective date of the Overseas Listing Trial Measures, mainland China domestic companies that have already completed overseas listing shall be regarded as “existing companies”, which are not required to fulfill filing procedure immediately but shall be required to complete the filing if such existing companies conduct refinancing in the future; and (ii) the CSRC will solicit opinions from the regulatory authorities and complete the filing of the overseas listing of companies with contractual arrangements which duly meet the compliance requirements, and support the development and growth of these companies by enabling them to utilize two markets and two kinds of resources. However, since the Overseas Listing Trial Measures was recently promulgated, their interpretation, application and enforcement remain unclear.</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substantial uncertainties surrounding the latest CSRC filing requirements at this stage, we cannot assure you that we will be able to complete the filings and fully comply with the new rules on a timely basis, if at all.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Relatedly, on September 6, 2024, the NDRC and the Ministry of Commerce jointly issued the Special Administrative Measures (Negative List) for Foreign Investment Access (2024 Version), or the 2024 Negative List, which became effective on November 1, 2024. Pursuant to such Special Administrative Measures, if a domestic company engaging in the prohibited business stipulated in the 2024 Negative List seeks an overseas offering and listing, it shall obtain the approval from the competent government authorities. Besides, foreign investors of the company shall not be involved in the company’s operation and management, and their shareholding percentage shall be subject, mutatis mutandis, to the regulations on the domestic securities investments by foreign investors. There remain uncertainties as to the interpretation and implementation of the 2024 Negative List, and it is unclear as to whether and to what extent listed companies like us will be subject to these new requirements. If we are required to comply with these requirements and fail to do so on a timely basis, if at all, our business operation, financial conditions and business prospect may be adversely and materially affected.</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we cannot assure you that any new rules or regulations promulgated in the future will not impose additional requirements on us. If it is determined in the future that approval and filing from the CSRC or other regulatory authorities or other procedures, including the cybersecurity review under the enacted version of the revised Measures for Cybersecurity Review and the Regulations on the Network Data Security, are required for our offshore offerings, it is uncertain whether we can or how long it will take us to obtain such approval or complete such filing procedures and any such approval or filing could be rescinded or rejected. Any failure to obtain or delay in obtaining such approval or completing such filing procedures for our offshore offerings, or a rescission of any such approval or filing if obtained by us, would subject us to sanctions by the CSRC or other PRC regulatory authorities for failure to seek CSRC approval or filing or other government authorization for our offshore offerings. These regulatory authorities may impose fines and penalties on our operations in mainland China, limit our ability to pay dividends outside of mainland China, limit our operating privileges in mainland China, delay or restrict the repatriation of the proceeds from our offshore offerings into mainland China or take other actions that could materially and adversely affect our business, financial condition, results of operations, and prospects, as well as the trading price of our listed securities. The CSRC or other PRC regulatory authorities also may take actions requiring us, or making it advisable for us, to halt our offshore offerings before settlement and delivery of the securities offered. Consequently, if investors engage in market trading or other activities in anticipation of and prior to settlement and delivery, they do so at the risk that settlement and delivery may not occur. In addition, if the CSRC or other regulatory authorities later promulgate new rules or explanations requiring that we obtain their approvals or accomplish the required filing or other regulatory procedures for our prior offshore offerings,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reputation, and the trading price of our listed securities.</w:t>
      </w:r>
    </w:p>
    <w:p>
      <w:pPr>
        <w:spacing w:after="0" w:line="14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in the interpretation and enforcement of the laws and regulations of mainland China could limit the legal protections available to you and us.</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legal system of mainland China is a civil law system based on written statutes. Unlike the common law system, prior court decisions may be cited for reference but have limited precedential value.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mainland China subsidiaries are foreign-invested enterprises and are subject to laws and regulations applicable to foreign-invested enterprises as well as various laws and regulations of mainland China generally applicable to companies incorporated in mainland China. However, since these laws and regulations are developing and the legal system of mainland China continues to rapidly evolve, the interpretations of many laws, regulations and rules are not always uniform and enforcement of these laws, regulations and rules involves uncertainties.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However, since administrative and court authorities of mainland China have discretion in interpreting and implementing statutory and contractual terms, it may be difficult to evaluate the outcome of such administrative and court proceedings. Furthermore, the legal system of mainland China is based in part on government policies and internal rules, some of which are not published on a timely basis or at all, and which may have a retroactive effect. As a result, we may not be aware of our violation of any of these policies and rules until sometime after the violation. Such uncertainties, including uncertainty over the scope and effect of our contractual, property (including intellectual property) and procedural rights, and any failure to respond to changes in the regulatory environment in mainland China could materially and adversely affect our business and impede our ability to continue our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PRC government’s significant oversight over our business operation could result in a material adverse change in our operations and the value of our ADSs.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 our business primarily in mainland China. Our operations in mainland China are governed by the laws and regulations of mainland China. The PRC government has significant oversight over the conduct of our business, and may intervene or influence our operations as the government deems appropriate to advance regulatory and societal goals and policy positions, which could result in a material adverse change in our operations, and our ordinary shares and ADSs may decline in value or become worthless. The PRC government has recently published new policies that significantly affected certain industries and we cannot rule out the possibility that it will in the future release regulations or policies that directly or indirectly affect our industry or require us to seek additional permission to continue our operations, which could result in a material adverse change in our operation and/or the value of our ADSs. Also, the PRC government has recently promulgated certain regulations and rules to exert more oversight and control over offerings that are conducted overseas and foreign investment in mainland China-based issuers. Any such action could significantly limit or completely hinder our ability to offer or continue to offer securities to investors, and our ordinary shares and ADSs may decline in value or become worthless. Therefore, investors of our company and our business face potential uncertainty from actions taken by the PRC government affecting our business.</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complexity, uncertainties and changes in the regulation on internet-related businesses and companies in mainland China.</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design, manufacture and sell high-performance electric motorcycles, mopeds, bicycles, as well as kick-scooters and e-bikes. Certain aspects of our business operations may be deemed as providing value-added telecommunication services, which is subject to regulation by the PRC government. For example, the PRC government imposes foreign ownership restriction and the licensing and permit requirements for companies in the internet industry. See “Item 4. Information on the Company—B. Business Overview—Regulations— Regulations Relating to Foreign Investment” and “Item 4. Information on the Company—B. Business Overview—Regulations— Regulations Relating to Value-Added Telecommunication Services.” These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mobile app is also regulated by the Administrative Provisions on Mobile Internet Applications Information Services promulgated by the CAC. According to these provisions, providers of mobile apps shall not create, copy, publish or distribute information and content prohibited by laws and regulations. However, we cannot assure you that all the information and content displayed on, retrieved from or linked to our mobile app comply with the requirements under these provisions at all times. If our mobile app were found to be violating these provisions, we may be subject to administrative penalties, including warning, service suspension or removal of our mobile app from the relevant mobile app store, which may materially and adversely affect our business and operating results.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interpretation and application of the existing laws, regulations and policies of mainland China and possible new laws, regulations or policies of mainland China relating to the internet industry have created substantial uncertainties regarding the legality of existing and future foreign investments in, and the businesses and activities of, internet businesses in mainland China, including our business. We cannot assure you that we have obtained all the permits or licenses required for conducting our business in mainland China or will be able to maintain or renew our existing licenses or obtain new ones.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mainland China,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mainland China and Hong Kong in the past has made it more difficult to evaluate the effectiveness of our independent registered public accounting firm’s audit procedures or quality control procedures as compared to auditors outside of mainland China and Hong Kong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and investors in our ADSs would be deprived of the benefits of such PCAOB inspections again, which could cause investors and potential investors in the ADSs to lose confidence in the audit procedures and reported financial information and the quality of our financial statements.</w:t>
      </w:r>
    </w:p>
    <w:p>
      <w:pPr>
        <w:spacing w:after="0" w:line="1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ADSs may be prohibited from trading in the United States under the HFCAA in the future if the PCAOB is unable to inspect or investigate completely auditors located in mainland China and Hong Kong. The delisting of the ADSs, or the threat of their being delisted, may materially and adversely affect the value of your investment.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HFCAA,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16, 2021, the PCAOB issued a report to notify the SEC of its determination that the PCAOB was unable to inspect or investigate completely registered public accounting firms headquartered in mainland China and Hong Kong and our auditor was subject to that determination. In May 2022, the SEC conclusively listed us as a Commission-Identified Issuer under the HFCAA following the filing of our annual report on Form 20-F for the fiscal year ended December 31, 2021. On December 15, 2022, the PCAOB removed mainland China and Hong Kong from the list of jurisdictions where it is unable to inspect or investigate completely registered public accounting firms. For this reason, we were not identified as a Commission-Identified Issuer under the HFCAA after we filed our annual report on Form 20-F for the fiscal year ended December 31, 2024 and do not expect to be so identified after we file this annual report on Form 20-F for the fiscal year ended December 31, 2025.</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For U.S. single listing issuer: If our shares and ADSs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on equity paid by our mainland China subsidiaries to fund any cash and financing requirements we may have, and any limitation on the ability of our mainland China subsidiaries to make payments to us could have a material and adverse effect on our ability to conduct our business.</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Niu Technologies is a holding company, and may rely on dividends and other distributions on equity paid by our mainland China subsidiaries for our cash and financing requirements, including the funds necessary to pay dividends and other cash distributions to our shareholders and service any debt we may incur. Current regulations of mainland China permit our mainland China subsidiaries to pay dividends to us only out of their accumulated after-tax profits upon satisfaction of the statutory conditions and procedures, if any, determined in accordance with Chinese accounting standards and regulations. In addition, each of our mainland China subsidiaries is required to set aside at least 10% of its accumulated profits each year, if any, to fund certain reserve funds until the total amount set aside reaches 50% of its registered capital. For a detailed discussion of applicable regulations of mainland China governing distribution of dividends, see “Item 4. Information on the Company—B. Business Overview—Regulations—Regulations Relating to Dividend Distribution.” Additionally, if our mainland China subsidiaries incur debt on their own behalf in the future, the instruments governing their debt may restrict their ability to pay dividends or make other distributions to us. Furthermore, the PRC tax authorities may require our WFOE to adjust its taxable income under the contractual arrangements it currently has in place with the variable interest entity in a manner that would materially and adversely affect its ability to pay dividends and other distributions to us. See “—Risks Related to Our Corporate Structure—Contractual arrangements in relation to the VIE may be subject to scrutiny by the PRC tax authorities and they may determine that we or the VIE owes additional taxes, which could negatively affect our financial condition and the value of your investment.”</w:t>
      </w:r>
    </w:p>
    <w:p>
      <w:pPr>
        <w:spacing w:after="0" w:line="1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limitation on the ability of our mainland China subsidiaries to pay dividends or make other distributions to us could materially and adversely limit our ability to grow, make investments or acquisitions that could be beneficial to our business, pay dividends, or otherwise fund and conduct our business. See “—If we are classified as a mainland China resident enterprise for mainland China income tax purposes, such classification could result in unfavorable tax consequences to us and our non-mainland China shareholders or ADS holders.”</w:t>
      </w:r>
    </w:p>
    <w:p>
      <w:pPr>
        <w:spacing w:after="0" w:line="1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Mainland China’s regulation of loans to and direct investment in entities in mainland China by offshore holding companies and governmental control of currency conversion may delay or prevent us from using the proceeds of our offshore offerings to make loans to or make additional capital contributions to our mainland China subsidiaries, which could materially and adversely affect our liquidity and our ability to fund and expand our business.</w:t>
      </w:r>
    </w:p>
    <w:p>
      <w:pPr>
        <w:spacing w:after="0" w:line="1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the laws and regulations of mainland China, we are permitted to utilize the proceeds of any financing outside of mainland China to fund our mainland China subsidiaries by making loans to or additional capital contributions to our mainland China subsidiaries, subject to applicable government registration, statutory limitations on amount and approval requirements. The amount of capital contributions that we may make to the WFOE is RMB220.0 million, without obtaining approvals from State Administration of Foreign Exchange, or SAFE, or other government authorities. Additionally, the WFOE may increase its registered capital to receive additional capital contributions from us and currently there is no statutory limit to increasing its registered capital, subject to satisfaction of applicable government registration and filing requirements. Pursuant to the regulations of mainland China, we may provide loans to the WFOE up to the larger amount of (i) the balance between the registered total investment amount and registered capital of the WFOE, or (ii) twice the amount of the net assets of the WFOE calculated in accordance with PRC GAAP, and we may provide loans to the VIE up to twice the amount of the net assets of the VIE calculated in accordance with PRC GAAP, each subject to satisfaction of applicable government registration or approval requirements. For any amount of loans that we may extend to the WFOE or the VIE, such loans must be registered with the local counterpart of SAFE. Medium- or long-term loans extended by our company to the VIE must also be approved by the NDRC. For more details, see “Item 4. Information on the Company—B. Business Overview—Regulations—Regulations Relating to Foreign Exchange—Regulations on Foreign Currency Exchange.” These laws and regulations of mainland China may significantly limit our ability to use Renminbi converted from the net proceeds of any financing outside of mainland China to fund the establishment of new entities in mainland China by our mainland China subsidiaries, to invest in or acquire any other mainland China companies through our mainland China subsidiaries, or to establish new variable interest entities in mainland China. Moreover, we cannot assure you that we will be able to complete the necessary registrations or obtain the necessary government approvals on a timely basis, if at all, with respect to future loans to our mainland China subsidiaries or future capital contributions by us to our mainland China subsidiaries. If we fail to complete such registrations or obtain such approvals, our ability to use the proceeds we received or expect to receive from our offshore offerings and to capitalize or otherwise fund our operations in mainland China may be negatively affected, which could materially and adversely affect our liquidity and our ability to fund and expand our business.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26, 2017, the NDRC issued the Management Rules for Overseas Investment by Enterprises, or the NDRC Order 11. On January 31, 2018, the Catalog on Overseas Investment in Sensitive Industries (2018 Edition) was promulgated. “Overseas investment” as defined in the NDRC Order 11 refers to the investment activities conducted by an enterprise located in the territory of mainland China either directly or through an overseas enterprise under its control by making investment with assets and equities or providing financing or guarantee in order to obtain overseas ownership, control, management rights and other related interests. Overseas investment by a Chinese individual through overseas enterprises under his/her control is also subject to the NDRC Order 11. According to the NDRC Order 11, (i) direct overseas investment by Chinese enterprises or indirect overseas investment by Chinese enterprises or individuals in sensitive industries or sensitive countries and regions requires prior approval by the NDRC; (ii) direct overseas investment by Chinese enterprises in non-sensitive industries and non-sensitive countries and regions requires prior filing with the NDRC; and (iii) indirect overseas investment of over US$300 million by Chinese enterprises or individuals in non-sensitive industries and non-sensitive countries and regions requires reporting with the NDRC. Uncertainties remain with respect to the application of the NDRC Order 11. We are not sure if we were to use a portion of the proceeds raised from our financing activities to fund investments in and acquisitions of complementary business and assets outside of mainland China, such use of U.S. dollars funds held outside of mainland China would be subject to the NDRC Order 11. There are very few interpretations, implementation guidance or precedents regarding NDRC Order 11 to follow in practice. We will continue to monitor any new rules, interpretation and guidance promulgated by the NDRC and communicate with the NDRC and its local branches to seek their opinions, when necessary. If it turns out that the NDRC Order 11 applies to our use of proceeds from the offering mentioned above and we fail to obtain the approval, complete the filing or report our overseas investment using the offering proceeds, as the case may be, in a timely manner as provided under the NDRC Order 11, we may be forced to suspend or cease our investment, or be subject to penalties or other liabilities, which may materially and adversely affect our business, financial condition and prospects.</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Governmental control of currency conversion may limit our ability to utilize our revenues effectively and affect the value of your investment.</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Renminbi into foreign currencies and, in certain cases, the remittance of currency out of mainland China. Under the existing foreign exchange regulations of mainland China, payments of current account items, such as profit distributions and trade and service-related foreign exchange transactions, can be made in foreign currencies without prior approval from the State Administration of Foreign Exchange, or SAFE, by complying with certain procedural requirements. However, approval from or registration with appropriate government authorities is required where Renminbi is to be converted into foreign currency and remitted out of mainland China to pay capital expenses such as the repayment of loans denominated in foreign currencies. See “Item 4. Information on the Company—B. Business Overview—Regulations—Regulations Relating to Foreign Exchange— Regulations on Foreign Currency Exchange.”</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PRC government has tightened its foreign exchange policies again and stepped up scrutiny of major outbound capital movement. More restrictions and a substantial vetting process have been put in place by SAFE to regulate cross-border transactions falling under the capital account. The PRC government may also restrict access in the future to foreign currencies for current account transactions, at its discretion. We receive substantially all of our revenues in RMB. If the foreign exchange control system prevents us from obtaining sufficient foreign currencies to satisfy our foreign currency demands, we may not be able to pay dividends in foreign currencies to our shareholders, including holders of the ADSs.</w:t>
      </w:r>
    </w:p>
    <w:p>
      <w:pPr>
        <w:spacing w:after="0" w:line="14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Regulations of mainland China relating to offshore investment activities by mainland China residents may limit our mainland China subsidiaries’ ability to increase their registered capital or distribute profits to us or otherwise expose us or our mainland China resident beneficial owners to liability and penalties under the laws of mainland China.</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SAFE requires mainland China residents or entities to register with SAFE or its local branch in connection with their establishment or control of an offshore entity established for the purpose of overseas investment or financing. In addition, such mainland China residents or entities must update their SAFE registrations when the offshore special purpose vehicle undergoes certain material events. According to the Notice on Further Simplifying and Improving Policies for the Foreign Exchange Administration of Direct Investment released on February 13, 2015 by SAFE, local banks will examine and handle foreign exchange registration for overseas direct investment, including the initial foreign exchange registration and amendment registration, under SAFE Circular 37 from June 1, 2015. See “Item 4. Information on the Company—B. Business Overview—Regulations—Regulations Relating to Foreign Exchange—Regulations on Foreign Currency Exchange.”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our shareholders who are mainland China residents or entities do not complete their registration with the local SAFE branches, our mainland China subsidiaries may be prohibited from distributing their profits and any proceeds from any reduction in capital, share transfer or liquidation to us, and we may be restricted from contributing additional capital to our mainland China subsidiaries. Moreover, failure to comply with SAFE registration requirements could result in liability under the laws of mainland China for evasion of applicable foreign exchange restrictions. Mr. Yi’nan Li, Mr. Token Yilin Hu and Ms. Yuqin Zhang who directly or indirectly hold shares in our Cayman Islands holding company and who are known to us as mainland China residents have completed the initial foreign exchange registrations and have updated their registrations required in connection with our corporate restructuring.</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However, we may not be informed of the identities of all the mainland China residents or entities holding direct or indirect interests in our company, nor can we compel our beneficial owners to comply with SAFE registration requirements. As a result, we cannot assure you that all of our shareholders or beneficial owners who are mainland China residents or entities have complied with, or will in the future make or obtain any applicable registrations or approvals required by, SAFE regulations. Failure by such shareholders or beneficial owners to comply with SAFE regulations, or failure by us to amend the foreign exchange registrations of our mainland China subsidiaries, could subject us to fines or legal sanctions, restrict our overseas or cross-border investment activities, limit our mainland China subsidiaries’ ability to make distributions or pay dividends to us or affect our ownership structure, which could adversely affect our business and prospects.</w:t>
      </w:r>
    </w:p>
    <w:p>
      <w:pPr>
        <w:spacing w:after="0" w:line="1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Mainland China’s M&amp;A Rules and certain other regulations of mainland China establish complex procedures for certain acquisitions of mainland China companies by foreign investors, which could make it more difficult for us to pursue growth through acquisitions in mainland China.</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number of laws and regulations in mainland China have established procedures and requirements that could make merger and acquisition activities in mainland China by foreign investors more time consuming and complex. In addition to the Anti-monopoly Law itself, these include M&amp;A Rules adopted in 2006 and amended in 2009, and the Rules of the Ministry of Commerce on Implementation of Security Review System of Mergers and Acquisitions of Domestic Enterprises by Foreign Investors, or the Security Review Rules, promulgated in 2011. These laws and regulations impose requirements in some instances that the Ministry of Commerce be notified in advance of any change-of-control transaction in which a foreign investor takes control of a mainland China domestic enterprise. In addition, the Anti-Monopoly Law requires that the Ministry of Commerce be notified in advance of any concentration of undertaking if certain thresholds are triggered. Moreover, the Security Review Rules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Ministry of Commerce, and prohibit any attempt to bypass a security review, including by structuring the transaction through a proxy or contractual control arrangement. In the future, we may grow our business by acquiring complementary businesses. Complying with these requirements could be time consuming, and any required approval processes, including approval from the Ministry of Commerce, may delay or inhibit our ability to complete such transactions, which could affect our ability to expand our business or maintain our market share.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overseas regulators to conduct investigation or collect evidence within mainland China.</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Shareholder claims or regulatory investigation that are common in the United States generally are difficult to pursue as a matter of law or practicality in mainland China. For example, in mainland China, there are significant legal and other obstacles to providing information needed for regulatory investigations or litigation initiated outside of mainland China. Although the authorities in mainland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which became effective in March 2020, no overseas securities regulator is allowed to directly conduct investigation or evidence collection activities within the territory of mainland China and without the consent by the Chinese securities regulatory authorities and the other competent governmental agencies, no entity or individual may provide documents or materials related to securities business overseas. In addition, the Data Security Law and the Personal Information Protection Law provide that no entity or individual within the territory of mainland China shall provide any foreign judicial body and law enforcement body with any data or any personal information stored within the territory of mainland China without the approval of the competent PRC government authority. While detailed interpretation of or implementation rules under these laws have yet to be promulgated, the inability for an overseas securities regulator to directly conduct investigation or evidence collection activities within mainland China, and restrictions on the provision of documents, materials, data and personal information by mainland China entities and individuals to an overseas securities regulator, foreign judicial body or foreign law enforcement body may further increase difficulties faced by you in protecting your interests.</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the regulations of mainland China regarding the registration requirements for employee stock incentive plans may subject the mainland China plan participants or us to fines and other legal or administrative sanctions.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SAFE regulations, mainland China residents who participate in a stock incentive plan in an overseas publicly listed company are required to register with SAFE or its local branches and complete certain other procedures. See “Item 4. Information on the Company— B. Business Overview—Regulations—Regulations Relating to Foreign Exchange—Regulations on Stock Incentive Plans.” We and our mainland China resident employees who participate in our share incentive plans have been subject to these regulations when our company became publicly listed in the United States in 2018. If we or any of these mainland China resident employees fail to comply with these regulations, we or such employees may be subject to fines and other legal or administrative sanctions. We also face regulatory uncertainties that could restrict our ability to adopt additional incentive plans for our directors, executive officers and employees under the laws of mainland China.</w:t>
      </w:r>
    </w:p>
    <w:p>
      <w:pPr>
        <w:spacing w:after="0" w:line="16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make adequate contributions to various employee benefit plans as required by the regulations of mainland China may subject us to penalties.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Companies operating in mainland China are required to participate in various government-sponsored employee benefit plans, including certain social insurance, housing funds and other welfare-oriented payment obligations, and contribute to the plans in amounts equal to certain percentages of salaries, including bonuses and allowances, of their employees up to a maximum amount specified by the local government from time to time at locations where they operate our businesses. The requirement of employee benefit plans has not been implemented consistently by the local governments in mainland China given the different levels of economic development in different locations. We have previously received payment notices from the government authorities for inadequate contribution to employee benefit plans, and we have made the payments and penalty. We may be required to make up the contributions for these plans as well as to pay late fees and fines. If we are subject to late fees or fines in relation to the underpaid employee benefits, our financial condition and results of operations may be adversely affected. Going forward, we will comply with the regulations of mainland China and distribute the outstanding employee benefit payment accordingly.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Enforcement of stricter labor laws and regulations of mainland China may adversely affect our business and our profitability.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been subject to stricter regulatory requirements in terms of entering into labor contracts with our employees and paying various statutory employee benefits to designated government agencies for the benefit of our employees. Pursuant to the PRC Labor Contract Law and its implementation rules, employers are subject to stricter requirements in terms of signing labor contracts, minimum wages, paying remuneration, determining the term of employee’s probation and unilaterally terminating labor contracts. In the event that we decide to terminate the employment with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Companies registered and operating in mainland China are required under the Social Insurance Law and the Regulations on the Administration of Housing Funds to apply for social insurance registration and housing fund deposit registration within 30 days of their establishment and to pay for their employees different social insurance including pension insurance, medical insurance, work-related injury insurance, unemployment insurance and maternity insurance to the extent required by law. We could be subject to orders by the competent labor authorities for rectification and failure to comply with the orders may further subject us to administrative fines.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the interpretation and implementation of labor-related laws and regulations are still evolving, we cannot assure you that our employment practices do not and will not violate labor-related laws and regulations in mainland China, which may subject us to labor disputes or government investigations. We cannot assure you that we have complied or will be able to comply with all labor-related law and regulations including those relating to obligations to make social insurance payments and contribute to the housing provident funds. If we are deemed to have violated the labor laws and regulations, we could be required to provide additional compensation to our employees and our business, financial condition and results of operations will be adversely affected.</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and adverse effect on our results of operations and the value of your investment.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are subject to risks arising from fluctuations in exchange rates with reference to countries in which we operate and to which we sell our products. We sell our products to various countries, and therefore, our revenues have significant exposure to the relative movements of currencies of those countries. Any significant appreciation or depreciation of Renminbi may materially and adversely affect our revenues, earnings and financial position, and the value of, and any dividends payable on, our ADSs in U.S. dollars. For example, to the extent that we need to convert U.S. dollars we receive into Renminbi to make capital contributions or pay our operating expenses, appreciation of Renminbi against the U.S. dollar would have an adverse effect on the RMB amount we would receive from the conversion. Conversely, a significant depreciation of Renminbi against the U.S. dollar may significantly reduce the U.S. dollar equivalent of our earnings, which in turn could adversely affect the price of our ADSs.</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conversion of Renminbi into foreign currencies is based on rates set by the People’s Bank of China. The value of Renminbi against foreign currencies is affected by changes in China’s political and economic conditions and by China’s foreign exchange policies, among other things. We cannot assure you that Renminbi will not appreciate or depreciate significantly in value against foreign currencies in the future.</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Very limited hedging options are available in mainland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the exchange control regulations of mainland China that restrict our ability to convert Renminbi into foreign currency. As a result, fluctuations in exchange rates may have a material adverse effect on your investment.</w:t>
      </w:r>
    </w:p>
    <w:p>
      <w:pPr>
        <w:spacing w:after="0" w:line="14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Discontinuation of any of the government subsidies or imposition of any additional taxes and surcharges could adversely affect our financial condition and results of operations.</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mainland China subsidiaries have received various financial subsidies from PRC local government authorities. The financial subsidies result from discretionary incentives and policies adopted by PRC local government authorities. Local governments may decide to change or discontinue such financial subsidies at any time. The discontinuation of such financial subsidies or imposition of any additional taxes could adversely affect our financial condition and results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mainland China resident enterprise for mainland China income tax purposes, such classification could result in unfavorable tax consequences to us and our non-mainland China shareholders or ADS holders.</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mainland China with a “de facto management body” within mainland China is considered a mainland China resident enterprise. The implementation rules define the term “de facto management body” as the body that exercises full and substantial control over and overall management of the business, productions, personnel, accounts and properties of an enterprise. In 2009, the State Administration of Taxation issued a circular, known as Circular 82, which provides certain specific criteria for determining whether the “de facto management body” of a PRC-controlled enterprise incorporated offshore is located in mainland China. Although Circular 82 only applies to offshore enterprises controlled by mainland China enterprises or mainland China enterprise groups, not those controlled by mainland China individuals or foreigners like us,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mainland China enterprise or a mainland China enterprise group will be regarded as a mainland China tax resident by virtue of having its “de facto management body” in mainland China and will be subject to mainland China enterprise income tax on its global income only if all of the following conditions are met: (i) the primary location of the day-to-day operational management is in mainland China; (ii) decisions relating to the enterprise’s financial and human resource matters are made or are subject to approval by organizations or personnel in mainland China; (iii) the enterprise’s primary assets, accounting books and records, company seals, and board and shareholder resolutions, are located or maintained in mainland China; and (iv) at least 50% of voting board members or senior executives habitually reside in mainland China.</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none of our entities incorporated outside of mainland China is a mainland China resident enterprise for mainland China tax purposes. However, the tax resident status of an enterprise is subject to determination by the PRC tax authorities and uncertainties remain with respect to the interpretation of the term “de facto management body.” If the PRC tax authorities determine that we are a mainland China resident enterprise for enterprise income tax purposes, we will be subject to the enterprise income tax on our global income at the rate of 25% and we will be required to comply with mainland China enterprise income tax reporting obligations. In addition, gains realized on the sale or other disposition of the ADSs or our Class A ordinary shares may be subject to mainland China tax, at a rate of 10% in the case of non-mainland China enterprises or 20% in the case of non-mainland China individuals (in each case, subject to the provisions of any applicable tax treaty), if such gains are deemed to be from mainland China sources. It is unclear whether non-mainland China shareholders of our company would be able to claim the benefits of any tax treaties between their country of tax residence and mainland China in the event that we are treated as a mainland China resident enterprise. Any such tax may reduce the returns on your investment in the ADSs.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failure or perceived failure by us to comply with the anti-monopoly and anti-unfair competition laws and regulations may result in governmental investigations or enforcement actions, litigation, or claims or fines against us, and could have an adverse effect on our business, financial condition and results of operations.</w:t>
      </w:r>
    </w:p>
    <w:p>
      <w:pPr>
        <w:spacing w:after="0" w:line="1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PRC government has adopted a series of anti-monopoly and anti-unfair competition laws and regulations and has recently enhanced its enforcement of such laws and regulations. The PRC Anti-monopoly Law (revised in 2022) and the implementing rules (i) require that where the concentration of undertakings reaches the filing threshold stipulated by the State Council, a filing must be made with the anti-monopoly authority before the parties implement the concentration, but even if the concentration of undertakings fails to meet the filing threshold, if there is any evidence that the concentration of undertakings has or may have the effect of eliminating or restricting competition, the anti-monopoly authority may require the parties to file, (ii) prohibit a business operator with a dominant market position from abusing such position, such as by selling commodities at unfairly high prices or buying commodities at unfairly low prices, selling products at prices below cost without any justifiable cause, or refusing to trade with a trading party without any justifiable cause, and (iii) prohibit business operators from entering into monopoly agreements, which refer to agreements that eliminate or restrict competition with competing business operators or transaction counterparties, such as by boycotting transactions, fixing or changing the price of commodities, limiting the output of commodities or fixing the price of commodities for resale to third parties, unless the agreements satisfy certain exemptions under the PRC Antimonopoly­ Law. Furthermore, in February 2021, the Anti-monopoly Commission of the State Council promulgated the Anti-Monopoly Guidelines for the Internet Platform Economy Sector, which prohibit certain monopolistic acts of internet platforms so as to protect market competition and safeguard the interests of users and undertakings participating in the internet platform economy. These acts include prohibiting platforms with a dominant position from abusing their market dominance such as discriminating against customers in terms of pricing and other transactional conditions using big data and analytics, coercing counterparties into exclusivity arrangements, using technology to block competitors’ interfaces, favorable positioning in search results of goods displays, using bundle services to sell services or products and compulsory collection of unnecessary user data. In addition, these guidelines also reinforce antitrust merger review for internet platform related transactions to safeguard market competition. Meanwhile, on March 10, 2023, the SAMR issued a series of provisions, which came into effect on April 15, 2023, to implement the Anti-Monopoly Law of the PRC, and further strengthen the anti-monopoly legal system. As these provisions and guidelines were newly promulgated, it is still uncertain how they will impact on our business, financial condition, results of operations and prospects.</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 to the PRC Anti-unfair Competition Law (revised in 2025), unfair competition, which refers to the production and operating activities where the operator disrupts the market competition order and damages the legitimate rights and interests of other operators or consumers in violation of the provisions of the PRC Anti-unfair Competition Law, shall be prohibited. Pursuant to the PRC Anti-unfair Competition Law, operators shall abide by the principle of voluntariness, equality, impartiality, integrity and adhere to laws and business ethics during market transactions. Operators in violation of the PRC Anti-unfair Competition Law may be subject to civil, administrative or criminal liabilities depending on the specific circumstances.</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Since its inception in 2018, the SAMR has continued to strengthen anti-monopoly enforcement. In December 2018, the SAMR issued the Notice on Anti-monopoly Enforcement Authorization, which authorizes SAMR’s provincial branches to conduct anti-monopoly enforcement within their respective jurisdictions. In September 2020, the SAMR issued Anti-monopoly Compliance Guideline for Operators, which requires operators to establish anti-monopoly compliance management systems to prevent anti-monopoly compliance risks. In particular, the PRC regulators have been increasingly focused on inspection and regulation on potential noncompliance with anti-unfair competition and anti-monopoly related laws recently. We have been conducting necessary internal inspection and rectifications in accordance with such guidance and are working on some of the rectification procedures, such as concentration notification for past deals. We cannot guarantee you that we will not be subject to more similar or even stricter rectification requests from the government authorities or that we will fully comply with all applicable rules and regulations at all times. As a result of the regulators’ focus on anti-monopoly and anti-unfair competition compliance and enhanced regulation of platform enterprises, our business practice and expansion strategy may be subject to heightened regulatory scrutiny. In order to comply with existing laws and regulations and new laws and regulations that may be enacted in the future, we may need to devote significant resources and efforts, including restructuring affected businesses and adjusting investment activities, which may adversely affect our business operation, growth prospects and reputation. In addition, we cannot assure you that our efforts are sufficient to comply with all the applicable laws and regulations on anti-monopoly and anti-unfair competition and the authorities’ requirements in all respects. Any anti-monopoly or anti-unfair competition related lawsuit, regulatory investigations or administrative proceedings initiated against us could also result in our being subject to regulatory actions and constraints on our investments and acquisitions, which could include forced termination of any agreements or transactions, required divestitures, limitations on certain pricing and business practices or significant fines. As a result, we may be subject to significant difficulties in operating our current business and pursuing our investment and acquisition strategy.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certain benefits under the tax treaty on dividends paid by our mainland China subsidiaries to us through our Hong Kong subsidiary.</w:t>
      </w:r>
    </w:p>
    <w:p>
      <w:pPr>
        <w:spacing w:after="0" w:line="1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Niu Technologies is a holding company incorporated under the laws of the Cayman Islands and as such rely on dividends and other distributions on equity from our mainland China subsidiaries to satisfy part of our liquidity requirements. Pursuant to the PRC Enterprise Income Tax Law, a withholding tax rate of 10% currently applies to dividends paid by a mainland China “resident enterprise” to a foreign enterprise investor, unless any such foreign investor’s jurisdiction of incorporation has a tax treaty with mainland China that provides for preferential tax treatment. Pursuant to the Arrangement between the Mainland China and the Hong Kong Special Administrative Region for the Avoidance of Double Taxation and Tax Evasion on Income, effective from December 8, 2006, such withholding tax rate may be lowered to 5% if a Hong Kong resident enterprise owns no less than 25% of a mainland China enterprise. According to the Announcement of the State Administration of Taxation on Issues concerning the “Beneficial Owner” in Tax Treaties, which became effective in April 2018, whether a resident enterprise is a “beneficial owner” that can apply for a low tax rate under tax treaties depends on an overall assessment of several factors, which may bring uncertainties to the applicability of preferential tax treatment under the tax treaties. Furthermore, the Administrative Measures for Non-Resident Taxpayers to Enjoy Treatments under Tax Treaties, which became effective on January 1, 2020, require non-resident taxpayers (including non-resident enterprises and individuals) to determine whether they are qualified to enjoy the preferential tax treatment under the tax treaties and file certain report and materials with the tax authorities. Where a non-resident taxpayer self-assesses and concludes that it/he/she satisfies the criteria for claiming preferential tax treatment, it/he/she may enjoy treaty benefits at the time of tax declaration or at the time of withholding through the withholding agent, simultaneously gather and retain the relevant materials for future inspection, and accept follow-up administration by the tax authorities. There are also other conditions for enjoying the reduced withholding tax rate according to other tax rules and regulations. See “Item 5. Operating and Financial Review and Prospects—Taxation.” In the future we intend to re-invest all earnings, if any, generated from our mainland China subsidiaries for the operation and expansion of our business in mainland China. Should our tax policy change to allow for offshore distribution of our earnings, we would be subject to a significant withholding tax. We cannot assure you that our determination regarding our qualification to enjoy the preferential tax treatment will not be challenged by the tax authority or we will be able to complete the necessary filings with the tax authority and enjoy the preferential withholding tax rate of 5% under the arrangement with respect to dividends to be paid by our mainland China subsidiaries to our Hong Kong subsidiary.</w:t>
      </w:r>
    </w:p>
    <w:p>
      <w:pPr>
        <w:spacing w:after="0" w:line="16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mainland China resident enterprises by their non-mainland China holding companies.</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February 2015, the State Administration of Taxation issued the Public Notice Regarding Certain Corporate Income Tax Matters on Indirect Transfer of Properties by Non-Resident Enterprises, or SAT Public Notice 7. SAT Public Notice 7 extends its tax jurisdiction to not only indirect transfers but also transactions involving transfer of other taxable assets, through the offshore transfer of a foreign intermediate holding company. In addition, SAT Public Notice 7 provides certain criteria on how to assess reasonable commercial purposes and has introduced safe harbors for internal group restructurings and the purchase and sale of equity through a public securities market. SAT Public Notice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mainland China entity which directly owned the taxable assets may report to the tax authority such indirect transfer. Using a “substance over form” principle, the PRC tax authority may disregard the existence of the overseas holding company if it lacks a reasonable commercial purpose and was established for the purpose of reducing, avoiding or deferring mainland China tax. As a result, gains derived from such indirect transfer may be subject to mainland China enterprise income tax, and the transferee or other person who is obligated to pay for the transfer is obligated to withhold the applicable taxes, currently at a rate of 10% for the transfer of equity interests in a mainland China resident enterprise. On October 17, 2017, the State Administration of Taxation issued the Announcement of the State Administration of Taxation on Issues Concerning the Withholding of Nonresident Enterprise Income Tax at Source, or SAT Bulletin 37, which came into effect on December 1, 2017, and was last amended on June 15, 2018. The SAT Bulletin 37 further clarifies the practice and procedure of the withholding of nonresident enterprise income tax.</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face uncertainties on the reporting and consequences of future private equity financing transactions, share exchanges or other transactions involving the transfer of shares in our company by investors that are non-mainland China resident enterprises. The PRC tax authorities may pursue such nonresident­ enterprises with respect to a filing or the transferees with respect to withholding obligation, and request our mainland China subsidiaries to assist in the filing. As a result, we and non-resident enterprises in such transactions may become at risk of being subject to filing obligations or being taxed under SAT Public Notice 7 and SAT Bulletin 37, and may be required to expend valuable resources to comply with them or to establish that we and our non-resident enterprises should not be taxed under these regulations, which may have a material adverse effect on our financial condition and results of operations.</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custodians or authorized users of controlling non-tangible assets of our company, including our corporate chops and seals, fail to fulfill their responsibilities, or misappropriate or misuse these assets, our business and operations could be materially and adversely affected.</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laws of mainland China, legal documents for corporate transactions are executed using the chops or seal of the signing entity or with the signature of a legal representative whose designation is registered and filed with the relevant branch of the Administration of Industry and Commerce.</w:t>
      </w:r>
    </w:p>
    <w:p>
      <w:pPr>
        <w:spacing w:after="0" w:line="1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we usually utilize chops to enter into contracts, the designated legal representatives of each of our mainland China subsidiaries, the VIE and its subsidiaries have the apparent authority to enter into contracts on behalf of such entities without chops and bind such entities. All designated legal representatives of our mainland China subsidiaries, the VIE and its subsidiaries are members of our senior management team who have signed employment agreements with us or our mainland China subsidiaries, the VIE and its subsidiaries under which they agree to abide by various duties they owe to us. In order to maintain the physical security of our chops and chops of our mainland China entities, we generally store these items in secured locations accessible only by the authorized personnel in the legal or finance department of each of our subsidiaries, the VIE and its subsidiaries. Although we monitor such authorized personnel, there is no assurance such procedures will prevent all instances of abuse or negligence. Accordingly, if any of our authorized personnel misuse or misappropriate our corporate chops or seals, we could encounter difficulties in maintaining control over the relevant entities and experience significant disruption to our operations. If a designated legal representative obtains control of the chops in an effort to obtain control over any of our mainland China subsidiaries, the VIE or its subsidiaries, we or our mainland China subsidiaries, the VIE and its subsidiaries would need to pass a new shareholder or board resolution to designate a new legal representative and we would need to take legal action to seek the return of the chops, apply for new chops with the authorities, or otherwise seek legal redress for the violation of the representative’s fiduciary duties to us, which could involve significant time and resources and divert management attention away from our regular business. In addition, the affected entity may not be able to recover corporate assets that are sold or transferred out of our control in the event of such a misappropriation if a transferee relies on the apparent authority of the representative and acts in good faith.</w:t>
      </w:r>
    </w:p>
    <w:p>
      <w:pPr>
        <w:spacing w:after="0" w:line="1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leased property interest may be defective and our right to lease the properties may be affected by such defects challenged, which could cause significant disruption to our business.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laws of mainland China, all lease agreements are required to be registered with the local housing authorities. We presently lease four premises in China, and the landlords of these premises have not completed the registration of their ownership rights or the registration of our leases with the authorities. Failure to complete these required registrations may expose our landlords, lessors and us to potential monetary fines. If these registrations are not obtained in a timely manner or at all, we may be subject to monetary fines or may have to relocate our offices and incur the associated losses.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ADSs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ADSs is likely to be volatile, which could result in substantial losses to investors.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trading price of the ADSs is likely to be volatile and could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The securities of some of these companies, including internet-based companies, have experienced significant volatility since their initial public offerings, including, in some cases, substantial price declines in their trading prices. The trading performances of other Chinese companies’ securities after their offerings may affect the attitudes of investors toward Chinese companies listed in the United States in general and consequently may impact the trading performance of the ADSs, regardless of our actual operating performance.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market and industry factors, the price and trading volume for the ADSs may be highly volatile for factors specific to our own operations, including the following:</w:t>
      </w:r>
    </w:p>
    <w:p>
      <w:pPr>
        <w:spacing w:after="0" w:line="121" w:lineRule="exact"/>
        <w:rPr>
          <w:sz w:val="20"/>
          <w:szCs w:val="20"/>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revenues, earnings and cash flow;</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or joint ventures by us or our competitors;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offerings, solutions and expansions by us or our competitors;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adverse publicity about us, our services or our industry;</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the ADSs will trade.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publishes inaccurate or unfavorable research about our business, or if they adversely change their recommendations regarding the ADSs, the market price for our ADSs and trading volume could decline.</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market for the ADSs will be influenced by research or reports that industry or securities analysts publish about our business. If one or more analysts who cover us downgrade the ADSs or publishes inaccurate or unfavorable research about our business, the market price for the ADSs would likely decline. If one or more of these analysts cease to cover us or fail to regularly publish reports on us, we could lose visibility in the financial markets, which in turn could cause the market price or trading volume for the ADSs to fall.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of substantial amounts of the ADSs could adversely affect their market price.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Sales of substantial amounts of the ADSs in the public market, or the perception that these sales could occur, could adversely affect the market price of the ADSs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market price of the ADSs. As of February 28, 2026, we had 156,872,176 ordinary shares issued and outstanding, comprising of (i) 141,650,156 Class A ordinary shares, and (ii) 15,222,020 Class B ordinary shares, among which 98,468,214 Class A ordinary shares are in the form of ADSs, which are freely transferable without restriction or additional registration under the Securities Act. The remaining Class A ordinary shares outstanding and the Class B ordinary shares will be available for sale, subject to volume and other restrictions as applicable under Rules 144 and 701 under the Securities Act. Certain holders of our ordinary shares may cause us to register under the Securities Act the sale of their shares, subject to the applicable lock-up period. Registration of these shares under the Securities Act would result in ADSs representing these shares becoming freely tradable without restriction under the Securities Act immediately upon the effectiveness of the registration. Sales of these registered shares in the form of ADSs in the public market could cause the price of our ADSs to decline.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voting structure will limit your ability to influence corporate matters and could discourage others from pursuing any change of control transactions that holders of our Class A ordinary shares and the ADSs may view as beneficial.</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dual-class ordinary share structure. Our ordinary shares are divided into Class A ordinary shares and Class B ordinary shares. Holders of Class A ordinary shares are entitled to one vote per share, while holders of Class B ordinary shares will be entitled to four votes per share. Each Class B ordinary share is convertible into one Class A ordinary share at any time by the holder thereof, while Class A ordinary shares are not convertible into Class B ordinary shares under any circumstances. Upon any direct or indirect sale, transfer, assignment or disposition of Class B ordinary shares by a holder thereof or the direct or indirect transfer or assignment of the voting power attached to such number of Class B ordinary shares through voting proxy or otherwise to any person or entity that is not an affiliate of such holder, such Class B ordinary shares shall be automatically and immediately converted into an equal number of Class A ordinary shares.</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of the 6,615,000 ordinary shares held by ELLY Holdings Limited, an entity beneficially and wholly owned by Dr. Yan Li and his spouse, and the 8,607,020 ordinary shares held by Niu Holding Inc., an entity beneficially and wholly owned by Mr. Token Yilin Hu, are Class B ordinary shares. Mr. Yan Li is the chairman of our board of directors and our chief executive officer, and Mr. Token Yilin Hu is our former director. Messrs. Yan Li and Token Yilin Hu collectively beneficially own an aggregate of 15,222,020 Class B ordinary shares, which represented 30.1% of our total voting power as of February 28, 2026. Therefore, Messrs. Yan Li and Token Yilin Hu have significant influence over matters requiring shareholders’ approval, including election of directors and significant corporate transactions, such as a merger or sale of our company or our assets. This concentration in voting power will limit your ability to influence corporate matters and could discourage others from pursuing any potential merger, takeover or other change of control transactions that holders of our Class A ordinary shares and the ADSs may view as beneficial.</w:t>
      </w:r>
    </w:p>
    <w:p>
      <w:pPr>
        <w:spacing w:after="0" w:line="15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a price appreciation of the ADSs for a return on your investment.</w:t>
      </w:r>
    </w:p>
    <w:p>
      <w:pPr>
        <w:spacing w:after="0" w:line="11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the ADSs as a source for any future dividend income.</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the ADSs will likely depend entirely upon any future price appreciation of our ADSs. There is no guarantee that the ADSs will appreciate in value or even maintain the price at which you purchased the ADSs. You may not realize a return on your investment in the ADSs, and you may even lose your entire investment in the ADSs.</w:t>
      </w:r>
    </w:p>
    <w:p>
      <w:pPr>
        <w:spacing w:after="0" w:line="1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classified as a passive foreign investment company, or PFIC, for U.S. federal income tax purposes for any taxable year, which could result in adverse U.S. federal income tax consequences to U.S. holders of the ADSs or our Class A ordinary shares.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non-U.S. corporation will be classified as a passive foreign investment company, or PFIC, for any taxable year if either (i) at least 75% of its gross income for such year consists of certain types of “passive” income; or (ii) at least 50% of the value of its assets (generally determined on the basis of a quarterly average) during such year is attributable to assets that produce passive income or are held for the production of passive income. Although the law in this regard is unclear, we intend to treat the VIE (and its subsidiaries) as being owned by us for United States federal income tax purposes, not only because we conduct the business operations of such entity but also because we are entitled to substantially all of its economic benefits, and, as a result, we consolidate its result of operations in our consolidated financial statements. Assuming that we are the owner of the VIE (including its respective subsidiaries, if any) for United States federal income tax purposes, we do not believe we were a PFIC for the taxable year ended December 31, 2025.</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the value of our assets for purposes of the asset test may be determined by reference to the market price of the ADSs, fluctuations in the market price of the ADSs may cause us to become a PFIC for the current or subsequent taxable years. In particular, recent declines in the market price of the ADSs and Class A ordinary shares increased our risk of becoming a PFIC. In addition, the composition of our income and assets will also be affected by how, and how quickly, we use our liquid assets. If we determine not to deploy significant amounts of cash for active purposes or if it were determined that we do not own the stock of the VIE for United States federal income tax purposes, our risk of being a PFIC may substantially increase. Because PFIC status is a factual determination made annually after the dose of each taxable year, there can be no assurance that we will not be a PFIC for the current taxable year or any future taxable year.</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a PFIC in any taxable year during which a U.S. Holder (as defined in “Item 10. Additional Information—E. Taxation—United States Federal Income Tax Considerations”) holds the ADSs or our Class A ordinary shares, certain adverse U.S. federal income tax consequences could apply to such U.S. Holder. See “Item 10. Additional Information—E. Taxation—Passive Foreign Investment Company Considerations.”</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sixth amended and restated memorandum and articles of association contain anti-takeover provisions that could have a material adverse effect on the rights of holders of our Class A ordinary shares and ADSs.</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sixth amended and restated memorandum and articles of association contain certain provisions to limit the ability of others to acquire control of our company or cause us to engage in change-of-control transactions, including a provision that grants authority to our board of directors to establish and issue from time to time one or more series of preferred shares without action by our shareholders and to determine, with respect to any series of preferred shares, the terms and rights of that series, any or all of which may be greater than the rights associated with our Class A ordinary shares in the form of ADSs. These provisions could have the effect of depriving our shareholders of the opportunity to sell their shares at a premium over the prevailing market price by discouraging third parties from seeking to obtain control of our company in a tender offer or similar transactions.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Our corporate affairs are governed by our sixth amended and restated memorandum and articles of association, the Companies Act (As Revised)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have a less developed body of securities laws than the United States. In addition, with respect to Cayman Islands companies, plaintiffs may face special obstacles, including but not limited to those relating to jurisdiction and standing, in attempting to assert derivative claims in state or federal courts of the United States.</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(other than the memorandum and articles of association and any special resolutions passed by such companies, and the registers of mortgages and charges of such companies) or to obtain copies of lists of shareholders of these companies. Our directors have discretion under our articles of association, to determine whether or not, and under what conditions, our corporate records may be inspected by our shareholders, but our directors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corporate governance practices in the Cayman Islands, which is our home country, differ significantly from requirements for companies incorporated in other jurisdictions such as the United States. As a result of all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and our directors and officers by our shareholders may not be enforceable.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Cayman Islands exempted company and most of our assets are located outside of the United States. Most of our current operations are conducted in mainland China. As a result, it may be difficult or impossible for you to bring an action against us in the United States in the event that you believe that your rights have been infringed under the U.S. federal securities laws or otherwise. Even if you are successful in bringing an action of this kind, the laws of the Cayman Islands and of mainland China may render you unable to enforce a judgment against our assets.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some of our directors and officers reside within China or are PRC nationals. As a result, it may also be difficult or impossible for you to bring an action against our directors and officers in the United States in the event that you believe that your rights have been infringed under the U.S. federal securities laws or otherwise. Even if you are successful in bringing an action of this kind, the laws of the Cayman Islands and of mainland China may render you unable to enforce a judgment against the assets of our directors and officers.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forms of written arrangement with the United States that provide for the reciprocal recognition and enforcement of foreign judgments. In addition, according to the PRC Civil Procedures Law, the PRC courts will not enforce a foreign judgment against us or our directors and officers if they decide that the judgment violates the basic principles of PRC laws or national sovereignty, security or public interest. As a result, it is uncertain whether and on what basis a PRC court would enforce a judgment rendered by a court in the United States.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of your holdings due to inability to participate in rights offerings.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transfer of your ADSs.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we are a foreign private issuer under the Exchange Act, we are exempt from certain provisions of the securities rules and regulations in the United States that are applicable to U.S. domestic issuers, including:</w:t>
      </w:r>
    </w:p>
    <w:p>
      <w:pPr>
        <w:spacing w:after="0" w:line="121" w:lineRule="exact"/>
        <w:rPr>
          <w:sz w:val="20"/>
          <w:szCs w:val="20"/>
          <w:color w:val="auto"/>
        </w:rPr>
      </w:pPr>
    </w:p>
    <w:p>
      <w:pPr>
        <w:ind w:left="680" w:hanging="321"/>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of quarterly reports on Form 10-Q or current reports on Form 8-K with the SEC;</w:t>
      </w:r>
    </w:p>
    <w:p>
      <w:pPr>
        <w:spacing w:after="0" w:line="12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intend to publish our results on a quarterly basis through press releases, distributed pursuant to the rules and regulations of the SEC. Press releases relating to financial results and material events will also be furnished to the SEC on Form 6-K. However, the information we are required to file with or furnish to the SEC is less extensive and less timely than that required to be filed with the SEC by U.S. domestic issuers. As a result, you may not be afforded the same protections or information that would be made available to you were you investing in a U.S. domestic issuer.</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an exempted company incorporated in the Cayman Islands, we are permitted to adopt certain home country practices in relation to corporate governance matters that differ significantly from the Nasdaq listing standards; these practices may afford less protection to shareholders than they would enjoy if we complied fully with such corporate governance listing standards.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Cayman Islands exempted company listed on the Nasdaq Stock Market, we are subject to the Nasdaq listing standards. Rule 5620(a) requires that each company listing common stock or voting preferred stock, and their equivalents, must hold an annual meeting of shareholders no later than one year after the end of the company’s fiscal year-end. However, the Nasdaq Stock Market Rules permit a foreign private issuer like us to follow the corporate governance practices of its home country. We have informed Nasdaq that we will follow home country practice, that is, the provisions of our Sixth Amended and Restated Memorandum and Articles of Association, with respect to the annual meeting of shareholders, which provides that our company may (but shall not be obliged to) in each calendar year hold a general meeting as our annual general meeting. Our shareholders may be afforded less protection than they would otherwise enjoy under the Nasdaq listing standards applicable to U.S. domestic issuers given our reliance on the home country practice exception.</w:t>
      </w:r>
    </w:p>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you may not be able to exercise your right to direct how the Class A ordinary shares which are represented by your ADSs are voted.</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ADSs do not have the same rights as our registered shareholders. As a holder of the ADSs, you will not have any direct right to attend general meetings of our shareholders or to cast any votes at such meetings. You will only be able to exercise the voting rights that are carried by the underlying Class A ordinary shares represented by your ADSs indirectly in accordance with the provisions of the deposit agreement. Under the deposit agreement, you may vote only by giving voting instructions to the depositary. Upon receipt of your voting instructions, the depositary will try, as far as is practicable, to vote the underlying Class A ordinary shares represented by your ADSs in accordance with your instructions. You will not be able to directly exercise your right to vote with respect to the underlying Class A ordinary shares unless you withdraw the shares and become the registered holder of such shares prior to the record date for the general meeting.</w:t>
      </w:r>
    </w:p>
    <w:p>
      <w:pPr>
        <w:spacing w:after="0" w:line="1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our articles of association, the minimum notice period required to convene a general meeting is seven calendar days. When a general meeting is convened, you may not receive sufficient advance notice of the meeting to withdraw the underlying Class A ordinary shares represented by your ADSs and become the registered holder of such shares to allow you to attend the general meeting and to vote directly with respect to any specific matter or resolution to be considered and voted upon at the general meeting. In addition, under our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Class A ordinary shares represented by your ADSs and becoming the registered holder of such shares prior to the record date, so that you would not be able to attend the general meeting or to vote directly. If we ask for your instructions, the depositary will notify you of the upcoming vote and will arrange to deliver voting materials to you. We have agreed to give the depositary at least 30 days’ prior notice of shareholder meetings. Nevertheless,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This means that you may not be able to exercise your right to direct how the underlying Class A ordinary shares represented by your ADSs are voted, and you may have no legal remedy if the underlying Class A ordinary shares represented by your ADSs are not voted as you requested.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impose or increase fees or charges (other than in connection with foreign exchange control regulations, and taxes and other governmental charges, delivery and other such expenses) or materially prejudice an existing substantial right of the ADS holders, ADS holders will only receive 30 days’ advance notice of the amendment, and no prior consent of the ADS holders is required under the deposit agreement. Furthermore, we may decide to terminate the ADS facility at any time for any reason. For example, terminations may occur when we decide to list our shares on a non-U.S. securities exchange and determine not to continue to sponsor an ADS facility or when we become the subject of a takeover or a going-private transaction. If the ADS facility will terminate, ADS holders will receive at least 30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common shares, but will have no right to any compensation whatsoever.</w:t>
      </w:r>
    </w:p>
    <w:p>
      <w:pPr>
        <w:spacing w:after="0" w:line="15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deposit agreement governing the ADSs representing our Class A ordinary shares provides that, the federal or state courts in the City of New York have non-exclusive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Class A ordinary shares, the ADSs or the deposit agreement, including any claim under the U.S. federal securities laws.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investing in the ADSs.</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 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Nevertheless, if this jury trial waiver provision is not enforced, to the extent a court action proceeds, it would proceed under the terms of the deposit agreement with a jury trial. 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depositary for the ADSs will give us a discretionary proxy to vote our Class A ordinary shares underlying your ADSs if you do not vote at shareholders’ meetings, except in limited circumstances, which could adversely affect your interests.</w:t>
      </w:r>
    </w:p>
    <w:p>
      <w:pPr>
        <w:spacing w:after="0" w:line="1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Under the deposit agreement for the ADSs, if you do not vote, the depositary will give us a discretionary proxy to vote our Class A ordinary shares underlying your ADSs at shareholders’ meetings unless:</w:t>
      </w:r>
    </w:p>
    <w:p>
      <w:pPr>
        <w:spacing w:after="0" w:line="121" w:lineRule="exact"/>
        <w:rPr>
          <w:sz w:val="20"/>
          <w:szCs w:val="20"/>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instructed the depositary that we do not wish a discretionary proxy to be given;</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informed the depositary that there is substantial opposition as to a matter to be voted on at the meeting;</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may have a material adverse impact on shareholders; or</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at the meeting is to be made on a show of hands.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 of this discretionary proxy is that if you do not vote at shareholders’ meetings, you cannot prevent our ordinary shares underlying your ADSs from being voted, except under the circumstances described above. This may make it more difficult for shareholders to influence the management of our company. Holders of our ordinary shares are not subject to this discretionary proxy.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commenced operations in September 2014 through Beijing Niudian, and launched our NQi series smart e-scooters in June 2015.</w:t>
      </w:r>
    </w:p>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November 2014, we incorporated Niu Technologies in the Cayman Islands as our offshore holding company to facilitate financing and offshore listing. Shortly following its incorporation, Niu Technologies established a wholly-owned subsidiary in Hong Kong, Niu Technologies Group Limited.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2015, Niu Technologies Group Limited established a wholly-owned subsidiary in mainland China, Niudian Information.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Due to the legal restrictions on foreign ownership in companies that provide value-added telecommunications services in mainland China, we operate our NIU app, our website </w:t>
      </w:r>
      <w:r>
        <w:rPr>
          <w:rFonts w:ascii="Times New Roman" w:cs="Times New Roman" w:eastAsia="Times New Roman" w:hAnsi="Times New Roman"/>
          <w:sz w:val="18"/>
          <w:szCs w:val="18"/>
          <w:i w:val="1"/>
          <w:iCs w:val="1"/>
          <w:u w:val="single" w:color="auto"/>
          <w:color w:val="auto"/>
        </w:rPr>
        <w:t>www.niu.com</w:t>
      </w:r>
      <w:r>
        <w:rPr>
          <w:rFonts w:ascii="Times New Roman" w:cs="Times New Roman" w:eastAsia="Times New Roman" w:hAnsi="Times New Roman"/>
          <w:sz w:val="18"/>
          <w:szCs w:val="18"/>
          <w:color w:val="auto"/>
        </w:rPr>
        <w:t xml:space="preserve"> and other related business through Beijing Niudian, a mainland China company in which the equity interests are held by mainland China citizens. In May 2015, we began to conduct the business operations of Beijing Niudian and its subsidiaries through Niudian Information by entering into a series of contractual arrangements with Beijing Niudian and its shareholders.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refer to Niudian Information as our WFOE, and to Beijing Niudian as the VIE in this annual report. Our contractual arrangements with the VIE and its shareholders allow us to (i) conduct the business operations of the VIE, (ii) receive substantially all of the economic benefits of the VIE, and (iii) have an exclusive option to purchase or designate any third party to purchase all or part of the equity interests in and assets of the VIE when and to the extent permitted by the laws of mainland China.</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our direct ownership in our WFOE and the contractual arrangements with the VIE, we are regarded as the primary beneficiary of the VIE, and we treat the VIE as the consolidated variable interest entity under U.S. GAAP, which generally refers to an entity in which we do not have any equity interests but whose financial results are consolidated into our consolidated financial statements in accordance with U.S. GAAP because we have a controlling financial interest in, and thus are the primary beneficiary of, that entity. We have consolidated the financial results of the VIE and its subsidiaries in our consolidated financial statements in accordance with U.S. GAAP.</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19, 2018, the ADSs representing our Class A ordinary shares commenced trading on Nasdaq under the symbol “NIU”. We raised from our initial public offering approximately US$55.2 million in net proceeds after deducting underwriting commissions and discounts and the offering expenses payable by 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Business Overview</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design, manufacture and sell high-performance electric motorcycles, mopeds, bicycles, as well as kick-scooters and e-bikes. We have a diversified product portfolio that caters to the various demands of our users and addresses different urban travel scenarios. Currently, we offer two model lineups, comprising a number of different vehicle types. These include (i) the electric motorcycle, moped and bicycle series, including the NQi, MQi, UQi, FQi series and others, and (ii) the micro-mobility series, including the kick-scooter series KQi and the e-bike series BQi. We have adopted an omnichannel retail model, integrating the offline and online channels, to sell our products and provide services to users. We sold 1,192,039 units e-scooters in 2025. The number of units sold in China market and international markets were 1,112,021 and 80,018, respectively. We sell and service our products through (i) our “city partner” system in China, which consisted of 623 city partners with 4,540 franchised stores in 320 cities in China as of December 31, 2025, (ii) our business partners in more than 40 countries overseas, including distributors, dealers and retailers, and (iii) our own online store and third-party e-commerce platforms.</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award-winning products represent style, freedom and technology. Our brand “NIU” has inspired many followers and has enabled us to build a loyal user base. We offer the NIU app as an integral part of the user experience and will continue to develop new features within the app to enhance user loyalty. NIU community is established in various types, where fans actively organize NIU scooter-related events. Capitalizing on our premium brand, we have also been able to sell lifestyle accessories, which are well received by customers.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 user-centric philosophy to design our products. We collect user feedback and product performance data to develop new products or functionalities to satisfy the unmet demand. All of our products are designed to embody the themes of style, freedom and technology through their unique design languages. We have built our smart e-scooters based on our advanced and innovative technologies, including smart technologies, powertrain and battery technologies and automotive-inspired functionalities.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meet the diversified market demand, in 2021 we entered the category of micro-mobility through kick-scooter and e-bike products in the international markets. Our kick-scooters and e-bikes product portfolio are designed to cover a wide range of urban mobility needs from last-mile commuting to entertainment purposes. Since the launch of the first kick-scooter product, we have strategically rolled out micro-mobility products to cover a wide range of market needs.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provide connectivity solutions and value-added services to our users. Our NIU app synchronizes with the smart e-scooters and communicates with our cloud system. Through the app, our users receive real-time information relating to their smart e-scooters. We use the data collected to provide smart maintenance and services, and guide the users on when and how to properly maintain our products to extend their service life and achieve better performance. We also analyze this data to help us improve our products and create new services. In addition, we collect and analyze user behavioral data from our NIU app and our website, from which we derive insights to further engage our customers and strengthen brand loyalty.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diversified product portfolio that caters to the various demands of our users and addresses different urban travel scenarios. Currently, we offer two model lineups, comprising a number of different vehicle types. These include (i) the electric motorcycle, moped and bicycle series, including the NQi, MQi, UQi, FQi series and others, and (ii) the micro-mobility series, including the kick-scooter series KQi and the e-bike series BQi.</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our product offerings in China, we built our product portfolio around the classic NQi, MQi, UQi series and subsequently introduced FQi series, and rolled out diversified products catering to different market needs such as the high-performance, high-end XQi electric motorcycle and NXT Hyper electric bicycle.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NQi Series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NQi series smart e-scooters mainly consists of the NXT, NLT, NST, and NT models. The NQi series is built to be high-performance, well balanced, and with a minimalistic aesthetic. Its design language is modern and minimalistic. The NQi series is equipped with advanced powertrain consisting of the high-energy-density battery pack with our proprietary battery management systems (BMS), high-efficiency motor, and our proprietary field-oriented controls (FOC) system that controls the electric motors. The NQi series features industry-leading, lightweight battery packs that deliver extended range. Its integrated BMS ensures safety and integrity by monitoring voltage, current, and temperature, where the technology is validated across five safety pillars: electrical, fire, mechanical, status monitoring, and anti-shock protection.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MQi Series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MQi series smart e-scooters mainly consists of the MT and MMT models. The MQi series is a cool and fresh-looking smart e-scooter designed for young urban users. Most of the MQi series models are smaller, lighter and more agile when cruising through urban traffic than that of the NQi series. The MQi series carries the NIU design language that puts a modern twist on the classic e-scooter design. The MQi series is designed to be ergonomic, bolstering natural and comfortable sitting posture and intuitive dashboard and switches layout.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UQi Series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UQi series smart e-scooters mainly consists of the U Max, U1E, U1One and U+ models. The UQi series is smaller and lighter than the NQi series and MQi series and carries the same NIU design language. The UQi series is designed to be ultra-light and ultra-compact. In December 2025, we launched the U1One model, which is specifically engineered to comply with the New Electric Bicycle Standard in China market.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FQi Series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FQi series is a new popular series that quickly becomes a well-known style besides the classic halo light NMU series, mainly with the FX and FXT products. The FQi series draws inspiration from fighter jets and seamlessly incorporates NIU’s essential smart functionalities.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our product offerings in overseas, we have two main categories: (i) electric motorcycles and mopeds, and (ii) electric micro-mobility products. While the electric motorcycle and moped category include some key products from the China market, the micro-mobility product category mainly focuses on kick-scooters and e-bikes.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XQi Series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XQi3 is an electric dirt bike built for all environments. Its advanced suspension and rugged construction deliver a smooth, controlled ride, while the ergonomic design reduces fatigue to make riding easier.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KQi Series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KQi series offers a wide range of products in the electric kick-scooter category. It includes the KQi Air, a high-end innovatively designed scooter, the KQi3 and KQi300, the high-performance products, and the KQi2, KQi200, KQi1 and KQi100, which are entry-level options. This diverse lineup lays a strong foundation to cater to a broad spectrum of users’ needs.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Accessories and spare parts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our e-scooters, urban commuter electric motorcycles, and performance bicycle series, we also offer a comprehensive line of NIU-branded accessories and spare parts.</w:t>
      </w:r>
    </w:p>
    <w:p>
      <w:pPr>
        <w:spacing w:after="0" w:line="1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Scooter Accessories</w:t>
      </w:r>
      <w:r>
        <w:rPr>
          <w:rFonts w:ascii="Times New Roman" w:cs="Times New Roman" w:eastAsia="Times New Roman" w:hAnsi="Times New Roman"/>
          <w:sz w:val="18"/>
          <w:szCs w:val="18"/>
          <w:color w:val="auto"/>
        </w:rPr>
        <w:t>. Our scooter accessories include riding gears, such as raincoats, gloves, and knee pads and accessories to be installed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e-scooters to expand functionalities, such as storage baskets and tail boxes, smart phone holders, backrests and locks.</w:t>
      </w:r>
    </w:p>
    <w:p>
      <w:pPr>
        <w:spacing w:after="0" w:line="11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Lifestyle Accessories</w:t>
      </w:r>
      <w:r>
        <w:rPr>
          <w:rFonts w:ascii="Times New Roman" w:cs="Times New Roman" w:eastAsia="Times New Roman" w:hAnsi="Times New Roman"/>
          <w:sz w:val="18"/>
          <w:szCs w:val="18"/>
          <w:color w:val="auto"/>
        </w:rPr>
        <w:t>. Our NIU POWER line of lifestyle accessories include branding apparel, such as t-shirts, coats, jeans, hats, bags,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jewelry, and souvenirs such as notebooks, badges, key chains and mugs.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Performance Upgrades</w:t>
      </w:r>
      <w:r>
        <w:rPr>
          <w:rFonts w:ascii="Times New Roman" w:cs="Times New Roman" w:eastAsia="Times New Roman" w:hAnsi="Times New Roman"/>
          <w:sz w:val="18"/>
          <w:szCs w:val="18"/>
          <w:color w:val="auto"/>
        </w:rPr>
        <w:t>. Our NIU POWER Performance line of high-performance upgrade components include upgraded wheels, shock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absorbers, brake calipers, and carbon fiber body panels.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NIU App</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NIU app serves as an integrated platform and supplemental tool to our smart e-scooters. The app includes a suite of functions that primarily focus on the connection with our smart e-scooters as well as other services and value propositions. Depending on vehicle models and geographical areas, the App includes: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NIU Dashboard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communications with the Cloud ECU, multiple sensors, positioning module and communication modules onboard each smart e-scooter, the NIU app presents various key information about the smart e-scooter on the dashboard, including:</w:t>
      </w:r>
    </w:p>
    <w:p>
      <w:pPr>
        <w:spacing w:after="0" w:line="121" w:lineRule="exact"/>
        <w:rPr>
          <w:sz w:val="20"/>
          <w:szCs w:val="20"/>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scooter status, such as the location of the scooter and anti-theft alerts;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riding data such as past routes and riding statistics;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diagnostics, such as the real-time status of the battery and the battery health score.</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dashboard features a card-based interface to present the most useful and relevant information to the users based on users’ preferences, which is both intuitive and has great potential for customization and expandability.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NIU Services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the NIU app, users can access a variety of services.</w:t>
      </w:r>
    </w:p>
    <w:p>
      <w:pPr>
        <w:spacing w:after="0" w:line="185" w:lineRule="exact"/>
        <w:rPr>
          <w:sz w:val="20"/>
          <w:szCs w:val="20"/>
          <w:color w:val="auto"/>
        </w:rPr>
      </w:pPr>
    </w:p>
    <w:p>
      <w:pPr>
        <w:ind w:left="680" w:hanging="321"/>
        <w:spacing w:after="0" w:line="282"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repair request. Users can request repair services with one click, after which the app will intelligently recommend the nearest service station for the services.</w:t>
      </w:r>
    </w:p>
    <w:p>
      <w:pPr>
        <w:spacing w:after="0" w:line="134"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 check. The function checks common failures which may occur in various components. Users can directly seek solutions through the fault tags.</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station locator. Users can access comprehensive information about nearby service stations.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NIU Cover. Users can query and activate NIU Cover insurance services within the app.</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 service. Users can check the status of the smart connection services and can renew the service.</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Theft reporting. Users can report theft of the smart e-scooter and battery within the app.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NIU Store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launched a dedicated in-app store within our NIU app to offer NIU-branded accessories. Additionally, users can explore our featured models and view purchase details in our NIU Store.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NIU Social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social tab is the forum for NIU users to post photos, chat, set up a gathering, and share fun in riding and daily life.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NIU Points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a user loyalty program designed to enhance user engagement and activity. The NIU Points are earned through joining special events, publishing original content, interacting with other users, among others. NIU users can redeem the earned points for exclusive NIU badges, NIU accessories, and coupons.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NIU Brand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brand represents style, freedom and technology. We design and market our products purposefully to reinforce consumer perception of “NIU” as a premium smart e-scooter brand.</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brand and products are globally recognized and have received prestigious accolades. Our signature NX and U+ models were honored with the Red Dot Product Design Award, and each of our popular NQi, MQi and UQi series has repeatedly launched models that have won international awards, such as the iF Design Award and the Better Design Award, among others. In addition, our brand has received several national-level awards, while gaining recognition from media and authoritative institutions, including the “Good Company 50” by Jiemian News and the “Reputation List of Listed Companies” by National Business Daily. These awards reinforce our technological leadership and further enhance NIU’s brand visibility.</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 various marketing and branding activities to establish NIU as a premium brand. We actively participate in global exhibitions and roadshows in various countries, such as EICMA in Milan and AIMExpo in Las Vegas, where we unveil our innovative product lineup and advanced mobility solutions. These initiatives reinforce our technological leadership and boost NIU’s brand visibility.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collaborate with a diverse range of top brands, trendy groups and famous IPs, including collaborations with Razer, The North Face, Kumamon, JD Gaming, Alipay and Amaps, to conduct marketing activities aimed at promoting our brand, engaging with youth demographics and reinforcing a stylish urban lifestyle image.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we implemented a comprehensive marketing strategy on platforms like Douyin, Tmall and JD through coordinated live-streaming and promotions with over 2,000 stores, achieving simultaneous growth in both brand exposure and GMV.</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elevate our global brand recognition, we expanded our retail presence through strategic partnerships with premier retail brands such as Best Buy in the United States and MediaMarkt in Europe.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NIU Community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cultivated a highly dedicated and growing base of NIU fans. Our users are proud owners of NIU smart e-scooters with high levels of engagement. We endeavor to build an interactive and dynamic social community to further convey our brand image as a trendy and youthful urban lifestyle brand. Formed and run by enthusiastic NIU fans, our NIU community organizes various events, such as new product test drives, charity rides, and scooter parades. We support the NIU community with products, designs and communication channels. To further expand the NIU community and increase brand loyalty, we have facilitated the creation of virtual NIU communities by our users via social media platforms such as WeChat, REDnote, and Douyin. We have a dedicated user interaction team that closely monitors and actively participates in various interest groups, such as photography and video group, accessories group, riding group, etc., to interact with users online. In these groups, our users share user-generated content, such as video clips and photos. These interactions and broadcasts enhance our brand image and help our community reach more users.</w:t>
      </w:r>
    </w:p>
    <w:p>
      <w:pPr>
        <w:spacing w:after="0" w:line="1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established a user loyalty program, NIU Point, to encourage user participation in interest groups and redemption of NIU badges, accessories, and coupons, leading to a truly better urban life. Our community creates a network effect that benefits our brand.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Analytics—NIU Big Data</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developed our user and scooter data analytics capabilities, which enable us to collect and analyze massive relevant data to deepen our understanding of the smart e-scooter performance, user behavior and operational insights.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accumulated massive amount of data from multiple sources. We currently collect 462 types of data points covering 72 dimensions such as humidity, lighting and temperature, from our Cloud ECU and up to 32 sensors installed on each smart e-scooter. As of December 31, 2025, our NIU app had been connected with approximately 4,540,000 smart e-scooters, which had accumulated approximately 37.9 billion kilometers of riding distance of data. We also collect data from our NIU app, company’s websites, e-commerce platforms, as well as through providing repair and maintenance services.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cloud system utilizes a robust, multilayer database structure that can handle over a million persistent connections concurrently. Our parallel database servers to support quick multiple queries in a TB level database. Our cloud system monitors the servers and automatically regenerates a new virtual server if any server goes offline. The above features ensure that our smart e-scooters maintain constant, reliable, and responsive connections with our cloud. In addition, our cloud’s open API platform allows connection with third parties to support functions such as fleet management and smart e-scooter sharing program.</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data analytics team leverages our proprietary big data platform and analytical tools, NIU Inspire to analyze the collected data to deepen our understanding of user behavior and product performance and gain operational insights, enabling us to: (i) guide the upgrade of the existing models and development of new ones; (ii) fine tune the firmware in our existing scooters to improve performance, such as the self-adaptive state of charge algorithms for better battery utilization or the FOC controller software for better electric motor efficiency; (iii) achieve more intelligent retail and service shop planning; (iv) generate scooter diagnosis reports and provide smart maintenance suggestions; and (v) conduct accurate targeted marketing.</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collect user-related data after receiving users’ consent. Users in Europe have the option to choose whether or not to send the GPS related data to us due to different data privacy regulations in these regions.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After-Sales Services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offer comprehensive after-sale services including value-added services. Our warranty is complemented by value-added services such as repair and maintenance service and NIU Cover, which can be conveniently ordered through NIU app, service hotline, or at our franchised stores. In addition, we provide various services through our NIU app, including NIU Rescue and location of our service centers, and theft reporting. Furthermore, we have been gradually implementing a more intelligent battery maintenance and fault prediction system. By analyzing factors such as user charging habits, driving distance, and environmental temperature, we create personalized user profiles that, when combined with adaptive battery management technologies, enable more efficient and intelligent battery maintenance. Additionally, we are incorporating artificial intelligence to learn from and analyze historical fault data, providing intelligent support for predictive maintenance. We believe all these services together will create a satisfying user experience throughout the e-scooter life cycle. Through these services, we aim to make ownership “worry free” and allow our users to truly enjoy riding and owning our e-scooters.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Policy</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limited warranties to our users for terms that vary from three months to a lifetime, subject to certain conditions, such as normal use. For certain key components of e-scooters, we mainly provide quality warranties varying from twelve months to a lifetime. For battery packs, warranties generally range from twelve months to sixty months or 10,000 to 40,000-kilometer warranty, depending on the models.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other components of the e-scooters, we provide quality warranties varying from three months to three years, depending on the parts. We are responsible for replacing or repairing the faulty products during their respective warranty terms. The warranty on certain parts of our e-scooters is covered by our suppliers’ back-to-back warranty and thus we are entitled to have the suppliers replace or repair the faulty parts.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Repair and Maintenance Service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regular after-sales maintenance service to our e-scooters. Our regular maintenance services include scooter exterior check, mechanical structure service, motor system check, electrification service, battery maintenance service, tire pressure check and cleaning services. Based on user’s driving behavior and mileage.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e-scooters are primarily serviced through our franchised stores and our authorized service centers, which provide repair, maintenance and bodywork services.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NIU Cover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2015, we introduced NIU Cover, a service package designed to offer users comprehensive service protection entitlements. This offering not only provides access to insurance services from third-party insurers—covering accidental injury, scooter loss, and third-party liability—but more importantly, it includes an extended term of NIU Smart benefits (smart services accessible via the NIU App), basic vehicle maintenance, discounts on peripheral products, vouchers for full-body shell replacement, and coupons for battery warranty extension services.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Behind our lineup of smart, efficient and high-performance smart e-scooters are the suite of advanced technologies we have developed or adopted, such as NIU Energy smart power technology, the Cloud ECU, electric motors, FOC, advanced braking systems, driver assistance and system integration, among others. We also continue to explore and leverage the latest AI technologies and applications in the electric two-wheel section, aiming to offering increasingly intelligent, eco-friendly and efficient mobility solutions for our users. For example, in February 2025, we announced the full deployment of DeepSeek’s AI model—a globally leading, low-compute, high-efficiency platform—on our e-scooters, advancing AI-driven functionalities such as rider assistance, safety enhancements, and voice interaction, demonstrating our commitment to driving innovation in the electric two-wheel industry.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NIU Energy Smart Power Technology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evolving NIU Energy smart power technology combines reliable and proven cell components, innovative hardware system design and an intelligent BMS. We adapted the technology to create a portable, lightweight, safe and reliable battery pack that is suitable for e-scooters. We analyze the riding data from our smart e-scooters to locate and refine the critical point of discharge within the safe range of the battery, develop our proprietary energy efficiency matrix PACK, dynamically calibrate the intelligent BMS chips, optimize the charging dynamic balance algorithms, and integrate our EBS kinetic energy recovery system, motor, and power control unit.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Hardware Component and Design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battery packs incorporate PACK technology, which is adopted by automakers globally. The PACK technology protects the battery cells from impact and regulates battery temperature, and use voltage, temperature, current, or PTC technology to protect each cell, thereby ensuring the integrity of the battery pack.</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battery packs can be charged either standalone or when installed on the e-scooter, both of which can be through a home wall plug. They use proprietary charging connectors and ports for simultaneous safe charging and BMS data communications. We have also developed our proprietary NIU Flash Charger that effectively doubles the charging speed of our battery pack as compared to regular chargers.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Battery Management System</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robust hardware, our battery packs feature an intelligent battery management system, or BMS. The BMS monitors the voltage, current and temperature of the battery in real-time, and regulates power consumption.</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core of our proprietary BMS is the self-adaptive SoC algorithms that optimizes the balance between performance and battery life, provides accurate range predictions based on the data and analysis of the riding behavior of the users and the discharging characteristics of the battery cells. Additionally, we have integrated the lead-acid battery power algorithm library into the scooter controller, which significantly improving the accuracy of the power display without incurring additional costs. This allows users to more intuitively and reliably understand the remaining battery level and estimated range. The system also supports functions such as low battery alerts and automatic switching to energy-saving mode, further enhancing the overall riding experience and ease of use.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Cloud Electronic Control Unit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core of each NIU smart e-scooter lies the Cloud Electronic Control Unit, or the Cloud ECU. The Cloud ECU serves as both a control center and communications center for the smart e-scooter. In particular, the Cloud ECU serves a wide range of functions including, among others, scooter control, motion monitoring, positioning, connectivity and data transmission from the smart e-scooter to our cloud server.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Scooter Control. </w:t>
      </w:r>
      <w:r>
        <w:rPr>
          <w:rFonts w:ascii="Times New Roman" w:cs="Times New Roman" w:eastAsia="Times New Roman" w:hAnsi="Times New Roman"/>
          <w:sz w:val="18"/>
          <w:szCs w:val="18"/>
          <w:color w:val="auto"/>
        </w:rPr>
        <w:t>The Cloud ECU serves as the smart e-scooter’s master control center, coordinating the smart e-scooter’s complex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The Cloud ECU controls, among others, the smart e-scooter battery, electric motor, Field Oriented Control system, electronic lock and light systems.</w:t>
      </w:r>
    </w:p>
    <w:p>
      <w:pPr>
        <w:spacing w:after="0" w:line="11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Motion Monitoring. </w:t>
      </w:r>
      <w:r>
        <w:rPr>
          <w:rFonts w:ascii="Times New Roman" w:cs="Times New Roman" w:eastAsia="Times New Roman" w:hAnsi="Times New Roman"/>
          <w:sz w:val="18"/>
          <w:szCs w:val="18"/>
          <w:color w:val="auto"/>
        </w:rPr>
        <w:t>The Cloud ECU monitors various physical aspects of our smart e-scooters with its built-in triaxial gyro sensor.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gyro sensor detects acceleration and changes in rotational motion or orientation. Thus, the Cloud ECU is able to monitor the posture and dynamics of the smart e-scooter in real-time and accordingly adjust the motor’s power output, ensuring the smart e-scooter’s performance and efficiency.</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Positioning. </w:t>
      </w:r>
      <w:r>
        <w:rPr>
          <w:rFonts w:ascii="Times New Roman" w:cs="Times New Roman" w:eastAsia="Times New Roman" w:hAnsi="Times New Roman"/>
          <w:sz w:val="18"/>
          <w:szCs w:val="18"/>
          <w:color w:val="auto"/>
        </w:rPr>
        <w:t>The Cloud ECU currently supports two major global satellite geolocation systems: (1) the American Global Positioning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 or the GPS, (2) the Chinese COMPASS, also known as the BeiDou Navigation Satellite System. Together, these systems constitute the technical backbone of our position-based anti-theft systems as well as functions such as riding map and smart e-scooter sharing, which are capable of detecting unauthorized movements of our smart e-scooters.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Connectivity and Data Transmission. </w:t>
      </w:r>
      <w:r>
        <w:rPr>
          <w:rFonts w:ascii="Times New Roman" w:cs="Times New Roman" w:eastAsia="Times New Roman" w:hAnsi="Times New Roman"/>
          <w:sz w:val="18"/>
          <w:szCs w:val="18"/>
          <w:color w:val="auto"/>
        </w:rPr>
        <w:t>The Cloud ECU facilitates the connectivity of our smart e-scooters, which are able to access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 spectrum of mobile network standards. Via these mobile networks, the Cloud ECU upload data about a smart e-scooter’s position and its condition every 3 to 15 seconds, depending on the smart e-scooter’s start up conditions. The transmittance of this data also serves as the foundation of our Assisted Global Positioning System, or the AGPS, that, when coupled with our GPS systems, allows for precise geolocation of our smart e-scooters. In addition, our smart e-scooters are also equipped with dual-mode Bluetooth chips, which allow owners of our smart e-scooters to use their smartphones to directly communicate with our e-scooters. Owners can, among others, query the smart e-scooter’s status and change certain settings such as adjusting the sensitivity level of the anti-theft alert.</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Intelligent Interaction. </w:t>
      </w:r>
      <w:r>
        <w:rPr>
          <w:rFonts w:ascii="Times New Roman" w:cs="Times New Roman" w:eastAsia="Times New Roman" w:hAnsi="Times New Roman"/>
          <w:sz w:val="18"/>
          <w:szCs w:val="18"/>
          <w:color w:val="auto"/>
        </w:rPr>
        <w:t>The Cloud ECU supports remote interaction with vehicles through IoT, as well as interaction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smartphones and vehicles via Bluetooth Low Energy (BLE) in the absence of a wireless network. Additionally, it supports NFC card swiping for powering on and off, and is capable of learning user driving habits to calculate estimated mileage.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OTA Updates. </w:t>
      </w:r>
      <w:r>
        <w:rPr>
          <w:rFonts w:ascii="Times New Roman" w:cs="Times New Roman" w:eastAsia="Times New Roman" w:hAnsi="Times New Roman"/>
          <w:sz w:val="18"/>
          <w:szCs w:val="18"/>
          <w:color w:val="auto"/>
        </w:rPr>
        <w:t>Our smart e-scooters are the first in the industry with OTA update capability, which is normally only seen on high-end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electric cars. The OTA update is supported by the Cloud ECU and rewriteable firmware of various electronic components. The OTA allows users to effortlessly update the e-scooters to the most recent firmware updates, so the users can benefit from all future performance improvements and feature enhancements on a regular basis.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constantly improving and upgrading our Cloud ECU, we have developed our own System-on-Chip module, which to our knowledge is the first chip module specially designed and customized for smart urban mobility products. We have applied the C35 System-on-Chip module to the latest V35 version of Cloud ECU to replace the current version of Cloud ECU since August 2019, which provides higher performance and better reliability with lower power consumption and more compact packaging. In addition, the customized chip module will make it more difficult for competitors to replicate our Cloud ECU. In the meantime, we are adopting Long-Term Evolution Category 1 (LTE Cat-1) data connection technology and applying to mass production since July 2021. Compared with Narrowband IoT (NB-IoT), LTE Cat-1 supports higher bandwidth needs since it offers better performance and much lower latency than its counterpart.</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DCDC power system</w:t>
      </w:r>
      <w:r>
        <w:rPr>
          <w:rFonts w:ascii="Times New Roman" w:cs="Times New Roman" w:eastAsia="Times New Roman" w:hAnsi="Times New Roman"/>
          <w:sz w:val="18"/>
          <w:szCs w:val="18"/>
          <w:color w:val="auto"/>
        </w:rPr>
        <w:t>. Our DCDC power system provides a safer, more efficient and more stable power supply. By leveraging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optimized circuit architecture, intelligent control algorithms, and a high-density integrated design, the system substantially increases operational efficiency while reducing thermal output, physical volume, and overall weight. These improvements optimize both the scooters’ control performance and structural layout. The system’s built-in protection mechanisms also offer multiple safeguards, including short circuit, overcurrent, overvoltage, and overtemperature protection, ensuring safe and reliable power delivery for the entire scooter.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Motors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purchase motors from various suppliers and we have also designed our NIU motors, which are energy efficient and cost-efficient. We have been constantly increasing the conversion ratio and refining the calibration of the FOC of the motors.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Field Oriented Control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Using big data analytics, we have developed the proprietary FOC system that controls the electric motors. The FOC is the intelligence behind the powertrains of our entire lineup of smart e-scooters, and helps our smart e-scooters strike the balance between performance and power consumption.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FOC controls the motor in real-time by recognizing riding conditions and continuously adjusting the torque of the motor for optimal performance. The FOC taps into the performance of a vector controller, which is superior to the square-wave controllers common on the market because a vector controller controls the power and torque output of the motor as opposed to simply adjusting the revolutions per minute, achieving a much smoother ride.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Braking System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smart e-scooters are equipped with hydraulic disc brakes made from special alloys. The brake discs are slotted to extend the life of the system. The hardware of the brakes is complemented by the Electronic Braking System, or the EBS, which provides for intelligent braking and recycling kinetic energy. Certain of our models also employ the combined braking system, or CBS, which intelligently splits braking force between the front and rear discs to shorten the braking distance at higher speeds. Additionally, some of our premium models are fitted with advanced Anti-lock Braking System, or ABS, to offer users enhanced braking performance and safety.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Driver Assistance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developed various driver assistance technologies to enhance the rider experience of our smart e-scooters such as hill hold control, downhill assist, zero-force walk assist, traction control system and bi-directional throttle control system, automatic headlights, automatic return indicators, cruise control and smart self-diagnosis systems.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look for ways to enhance user experience. We have developed adaptive responses to road conditions, active safety systems, and applied them to our latest version of Cloud ECU. We are currently working on the development of, among others, active safety systems, self-balancing systems and driving assistance systems. These advanced systems are developed in tandem with the new product series.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System Integration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NIU systems draw from a diverse range of industries and technologies. For example, we use gyroscope, satellite navigation and mobile communication chipsets that originate from the mobile phone industry; temperature sensors, humidity sensors and communication protocols that originate from the industrial control systems; and cloud and big data technologies that originate from internet industry. These diverse technologies and components operate under diverse conditions, such as different working electrical currents and temperatures. We have developed a system that uses a single master control with multi-channel protocols to ensure that all components in the vehicle can be upgraded to the latest version.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 and Engineering</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comprehensive in-house design and engineering capabilities, encompassing all stages of scooter engineering from initial concept to final production.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User-Centric Philosophy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adopt a user-centric approach in our product design and development. Our products are designed based on quantitative data and qualitative feedback collected directly from our smart e-scooters and users. By maintaining a continuous connection with our vehicles and proactively interacting with users, we have established an instant feedback loop that drives an agile product development process.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systematically collect and analyze large volumes of product performance and behavioral data from scooters on the road, as well as from our NIU app and website. Furthermore, we conduct comprehensive surveys and analyze community feedback to identify areas for improvement. Utilizing these concrete insights, we continuously iterate on our offerings, having successfully deployed practical functionalities such as cruise control and automatic headlights. We also leverage this data to deliver regular over-the-air (OTA) firmware updates, optimizing scooter performance and the overall user experience.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research and development team comprises seasoned engineering professionals with extensive industry experience. Their technical expertise, combined with our data-driven philosophy, enables us to consistently design and deliver high-performance smart e-scooters.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Platform-based Engineering System</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utilize a platform-based engineering system anchored by standardized vehicle control and data connection architecture. Under this new smart architecture, we have standardized the design of dashboards and combination switches across various specifications to meet platform requirements. This approach allows for flexible configurations—including integration with Linux-based dashboards for diverse scenarios—balancing product uniformity with the specific needs of different price points and product definitions.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systematic approach allows us to efficiently develop distinct product lines sharing the same voltage requirements, enabling rapid adaptation of our existing production lines for new models. Furthermore, cross-platform component sharing significantly accelerates our engineering phase and maximizes R&amp;D efficiency, while enhancing overall system stability and maintainability.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instance, two vehicles built on the same 48V platform can share identical battery pack solutions, the BMS, FOC, and motors, allowing for highly adaptable configurations. By standardizing these core components, we systematically shorten our design timelines, accelerate time-to-market, and lower manufacturing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Design</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Industrial design plays a crucial role at NIU. By utilizing design thinking, our team identifies critical user pain points and delivers optimized solutions for daily urban commuting. Our product lines speak a distinctive and consistent family design language, combining contemporary aesthetics with thoughtful functionality. We prioritize both safety and user experience. For instance, we strategically use signature lighting designs to establish distinct product identities across different series, such as the iconic “Halo” headlamp. It integrates a daytime running light with our LED headlamps, providing an ultra-wide arc of light for improved night vision. Furthermore, our vehicles integrate advanced safety and intelligent features as standard, including traction control systems and keyless NFC or Bluetooth unlocking capabilities. The accompanying NIU app seamlessly connects with the vehicle, offering users real-time insights into battery health, remaining mileage, and remote diagnostics to improve overall customer support.</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good design should deliver an exceptional user experience. Therefore, our team has conducted intensive testing and mock-ups for ergonomic studies. This rigorous process allows us to translate our design philosophy into targeted products that cater to different customer bases. For example, our NX model embodies modern mobility with a focus on dynamic aesthetics. Its sculpted bodywork, minimalist contours, and technological elements strike a balance between contemporary design and powerful performance. This unique positioning attracts sophisticated consumers seeking cutting-edge technology, enhancing our brand’s competitiveness. Complementing this, the FX model introduces a fresh, mecha-inspired aesthetic. With its angular body and integrated lighting, the FX model offers a futuristic, high-tech appeal, providing an accessible way for young consumers to experience smart electric scooters. Through this strategic alignment of industrial design, intelligent functionality, and precise market segmentation, we continuously strengthen our product portfolio and appeal to a diverse global user base.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NIU Innovation Lab</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NIU Innovation Lab drives our advanced research and development across several key areas, which include our user experience design, smart electronic research, powertrain design, industrial design and product planning.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Lab focuses on industrial design, structural design, smart electronics research, power electronics research, user data analysis, business intelligence system development and user experience research. The Lab and our research and development team played a crucial role in the creation of the 617 patents we held as of December 31, 2025. We also entered into a definitive Development Collaboration Agreement in March 2019 with one of the world’s leading automobile manufacturers regarding joint development of Micro-mobility solutions, which was carried out by the Lab.</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R&amp;D and Manufacturing Base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global R&amp;D and manufacturing base commenced operation in December 2019. Located in Changzhou, China, the facility hosts, among others, our proprietary R&amp;D laboratories for our BMS intelligent battery management system, FOC magnetic field-oriented control system, EBS electronic brake system, Cloud ECU intelligent central controller and NIU Inspire big data analysis system, as well as a quality laboratory for comprehensive and standardized testing of the components and vehicles.</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Fulfillment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design, manufacture and sell electric motorcycles, mopeds, bicycles, as well as kick-scooters and e-bikes. We view the manufacturers and suppliers we work with as key partners through our product development process and leverages their industry expertise to ensure that each product that we produce meets our strict quality standards.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facility</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keep the majority of the assembly of our electric motorcycles, mopeds, bicycles, as well as kick-scooters in our own production facility, while cooperating with a motorcycle manufacturer with required qualifications to manufacture the certain electric motorcycles models. We operate two manufacturing facilities in Changzhou, China. Our global R&amp;D and manufacturing base includes two phases of construction. Phase I facility commenced operation in December 2019, and covers around 50,000 square meters. Phase I layout includes four semi-automatic assembly lines, a highly efficient double-decker logistics facility, a products showroom, and a dedicated quality control laboratory. The designed production capacity under Phase I is 700,000 units per annum, which increased our total production capacity to over 1,000,000 units per annum. Phase II facility covers around 61,000 square meters and started production from September 2021, which increased our total production capacity to over 2,000,000 units per annum.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 Management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purchase key components from our suppliers, such as batteries, motors, tires, battery chargers and controllers. We strategically select our suppliers to avoid over-concentration, control our cost and maintain a good relationship with our suppliers.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avoid over-concentration of supply and manage costs and product quality, we generally engage more than two suppliers for each of our key components. For example, we source batteries from multiple leading suppliers. We select our suppliers based on a variety of criteria, including, among others, production capacity, technological sophistication, quality assurance, professional certification, manpower adequacy, financial position and environmental compliance. In addition, we review the performance of our suppliers and make necessary adjustments to our supply chain, including termination of under-performing suppliers. We have been able to maintain good and long-lasting relationships with our suppliers.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strong bargaining power on procuring components and raw materials, which enables us to effectively defend ourselves against price increases and fluctuations. We diversify our source of each type of raw material from at least two suppliers. Typically, we enter into a supply framework agreement with each of our raw material suppliers, under which our procurement price is generally set as the predefined standard cost of the supplier plus a specified mark-up, and discount, subject to macro and micro environment.</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place great emphasis on the prudent management of our inventory level. We formulate holistic plans for our production, warehousing and logistics, by tracking a variety of factors, including, among others, historical sales data, sales forecasts and customization requests. With smooth turnover between production and logistics, we are able to maintain an optimal inventory level, to fulfill our orders and avoid over-stock at the same time. Our inventory turnover days were 73, 71 and 74 for 2023, 2024 and 2025, respectively. Inventory turnover days for a given period are equal to average of the balances of inventories, at the beginning and the end of the period divided by cost of revenues during the period and multiplied by the number of days during the period.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Quality Control</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the quality of our products is crucial to our growth. We place great emphasis on quality control, set up dedicated team and implemented stringent monitoring and quality control systems to manage our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quality control system starts from procurement. Before entering our production flow, the components must be certified for quality. We also perform quality reexaminations and unannounced inspections on components in the mass production flow. We review the performance of our suppliers based on the defective percentage of their supplies, and adjust the amount of procurement from them accordingly. We typically enter into a quality control agreement with each of our suppliers, under which we may seek remedies against our suppliers, such as damages and rectification, in the event the supplies fall below the quality standard or exceed minimum defective percentage.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quality control system covers each stage of our production process. When we establish or adapt an assembly line for a new product or model, we trial-run the assembly line to produce a sample for quality examination. The assembly line can start mass production only if the produced sample is of adequate quality. When the in-progress product moves from one section to another along the assembly line, it must be checked for quality by the responsible assembly specialists in both sections. After completion of assembly, our quality control personnel will perform overall quality inspection and road-test on the products in accordance with relevant protocols. A product may be shipped out of manufacturing facility only after it passes all quality control examinations and is properly documented as such. We also track the acceptance status of our products when they reach our distributors, business partners or customers. By logging and breaking down the pass rates along our products in the production process, we are able to identify our quality control weak spots, and improve our operation accordingly.</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global R&amp;D and manufacturing base includes a dedicated quality control laboratory equipped with full-automatic and semi-automatic instruments for components testing, and proprietary inspection systems for battery cell quality testing.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not experienced any massive product recall, massive refunds or other quality control outbreak since we started to sell e-scooters.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Fulfilment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Leveraging our excellent production and big data capabilities, we are able to achieve fast turnaround time fulfilling orders placements. We ship our products generally 7 to 15 days following placement of order and receipt of payment from our city partners in China. For overseas business partners, delivery generally takes 30 to 60 days following the receipt of down payment under FOB terms, or 5 days fulfilled from our overseas warehouses. Orders from our official website or other e-commerce platforms are faster to fulfill, usually within five days.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proactive planning, we are able to estimate the distribution of orders in a certain period of time and improve the predictability of our order fulfillment. For example, our franchised stores must timely submit their revolving order plans for the period of the following two weeks and following three months. We incorporate such order plans, in addition to other information, into our holistic planning of production, warehousing and logistics, which in turn helps us achieve fast turnaround to fulfill order placements. Similarly, we take into consideration of the capacity constraint of the factories and frontload the productions ahead of each peak sales season.</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different shipping methods for our finished products depending on the type of the distribution channel: (i) for our offline domestic distribution channels, our city partners and franchised stores are responsible for logistics from the moment products are rolled out of the factory; (ii) for local business partners in international markets, we ship our products mainly under FOB or DDP terms; and</w:t>
      </w:r>
    </w:p>
    <w:p>
      <w:pPr>
        <w:spacing w:after="0" w:line="1" w:lineRule="exact"/>
        <w:rPr>
          <w:sz w:val="20"/>
          <w:szCs w:val="20"/>
          <w:color w:val="auto"/>
        </w:rPr>
      </w:pPr>
    </w:p>
    <w:p>
      <w:pPr>
        <w:ind w:right="20" w:firstLine="8"/>
        <w:spacing w:after="0" w:line="260" w:lineRule="auto"/>
        <w:tabs>
          <w:tab w:leader="none" w:pos="3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online shopping platforms such as our official website and third-party platforms such as Amazon.com, we ship our products through third-party delivery services.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Omnichannel Retail Model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a distinct omnichannel retail model network to sell our products and provide service to our customers. As of December 31, 2025, we sold our products through 4,540 franchised stores in 320 cities in China and through business partners in more than 40 countries overseas, as well as on our own online store and third-party leading e-commerce platforms. We also leverage our omnichannel retail network to deliver peripheral services such as maintenance and repair, and to collect data for business insights.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Offline Distribution Network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City partners and franchised stores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China, our offline retail channels consist of city partners and franchised stores. Our “city partner” system plays an important role in our offline sales strategy. City partners are our exclusive distributors who either open and operate franchised stores or sign up franchised stores. Leveraging our data analytics and their local knowledge, the city partners select store location and manage the franchised stores. The “city partner” system allows us to optimize store location selection, manage stores efficiently, and maintain our inventory at a low level.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become our city partner and run our franchised stores, a potential partner must meet certain qualifications and possess the prerequisite capabilities specified in the standard franchise agreement, including, among others, adequate and relevant experience, minimum working capital and sound knowledge of local business environment. The stores also have to meet certain requirements that we formulate and adjust from time to time, such as being in a location reasonably accessible and convenient for our targeted users, having adequate square footage, having at least three years of lease term if under leasehold, and having a layout and decorative style that conform to the architectural specifications.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city partners and franchised stores are an extension of our brand. Our franchised stores adopt a consistent design and layout, provide consistent shopping experience. We enter into a standard distribution agreement with each of our city partners. Each city partner may only offer such products and services, in the specified region and manner, as provided under its respective distribution agreement. The city partners also have to comply with our internal policies regarding performance review, branding and confidentiality. To ensure orderly allocation of customer resources between the city partners, we maintain a stringent distribution management system, under which all the city partners must sell at or above the guidance retail price we set, and must strictly comply with all relevant requirements and guidelines. The city partners purchase the products from us, and are responsible for the logistics, warehousing, and distribution to franchised stores. We do not charge any initial fees or continuing fees to our city partners or franchised stores.</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closely monitor the sales performance, service level and activities within the franchised stores through the store level management system that was implemented in early 2018. We will continue to upgrade such system to collect more store operation data such as consumer traffic flow and traffic flow sources, test drive frequencies and sales conversion rate. We also use data collected by other means to improve the performance of our stores. This information helps us adjust store-specific retailing and marketing strategies, thereby increasing per store sales.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offering smart e-scooters, our stores also serve as our service stations to provide after-sales services such as inspection, maintenance and repair services. Under our standard franchise agreement with the city partners and franchised stores, if a customer requests a franchised store to repair one of our products within the term of the warranty, we will reimburse the franchised store for all reasonable labor cost incurred from the repair and also provide them with the necessary spare parts. By offering after-sales services, we aim to establish one-stop solution experience for our customers, continue to increase traffic flow to our stores and enhance user loyalty.</w:t>
      </w:r>
    </w:p>
    <w:p>
      <w:pPr>
        <w:spacing w:after="0" w:line="143" w:lineRule="exact"/>
        <w:rPr>
          <w:sz w:val="20"/>
          <w:szCs w:val="20"/>
          <w:color w:val="auto"/>
        </w:rPr>
      </w:pPr>
    </w:p>
    <w:p>
      <w:pPr>
        <w:ind w:right="840"/>
        <w:spacing w:after="0" w:line="461" w:lineRule="auto"/>
        <w:rPr>
          <w:sz w:val="20"/>
          <w:szCs w:val="20"/>
          <w:color w:val="auto"/>
        </w:rPr>
      </w:pPr>
      <w:r>
        <w:rPr>
          <w:rFonts w:ascii="Times New Roman" w:cs="Times New Roman" w:eastAsia="Times New Roman" w:hAnsi="Times New Roman"/>
          <w:sz w:val="18"/>
          <w:szCs w:val="18"/>
          <w:color w:val="auto"/>
        </w:rPr>
        <w:t xml:space="preserve">The majority of our city partners make full payments upfront for their orders, which helps us improve cash flow management. </w:t>
      </w:r>
      <w:r>
        <w:rPr>
          <w:rFonts w:ascii="Times New Roman" w:cs="Times New Roman" w:eastAsia="Times New Roman" w:hAnsi="Times New Roman"/>
          <w:sz w:val="18"/>
          <w:szCs w:val="18"/>
          <w:i w:val="1"/>
          <w:iCs w:val="1"/>
          <w:color w:val="auto"/>
        </w:rPr>
        <w:t>Overseas Sales Network</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export our products to business partners in over 40 countries overseas, including distributors, dealers and retailers. We manufacture and customize our products based on the requirements of our international customers and we ensure our exported products are in compliance with the standards of the local markets.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international markets, we establish our sales network by engaging with local distributors and retail partners, and by setting up local entities. A potential business partner must meet certain qualifications and possess certain prerequisite capabilities, including, among others, preexisting business presence in motorcycles or consumer electronics and established comprehensive sales and service network to be eligible as our business partners. In addition, our business partners must share our vision in the promising future of smart and eco-friendly transportation products, and embrace our innovative marketing models.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Typically, we enter into a distribution agreement with our business partners, under which the business partners will commit to a minimum annual purchase amount from us, for a period of one to three years. Our shipping arrangements with business partners are mainly under FOB or DDP terms.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position our products as fashionable, premium urban mobility tools in international markets. Our business partners sell our products primarily in the following three types of stores in international markets:</w:t>
      </w:r>
    </w:p>
    <w:p>
      <w:pPr>
        <w:spacing w:after="0" w:line="121" w:lineRule="exact"/>
        <w:rPr>
          <w:sz w:val="20"/>
          <w:szCs w:val="20"/>
          <w:color w:val="auto"/>
        </w:rPr>
      </w:pPr>
    </w:p>
    <w:p>
      <w:pPr>
        <w:ind w:left="68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branded flagship stores, which are located in the core business areas in major cities, have a space of over 100 square meters, and carry our smart e-motorcycles and e-mopeds exclusively.</w:t>
      </w:r>
    </w:p>
    <w:p>
      <w:pPr>
        <w:spacing w:after="0" w:line="12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shop-in-shop stores, which are located in downtowns in major cities, where the entire store has a space of over 100 square meters, and have a designated section for our smart e-motorcycles and e-mopeds with a space of around 30 square meters.</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point of sales, which are licensed to carry our smart e-motorcycles and e-mopeds on a non-exclusive basis.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micro-mobility product category, we have established offline sales channels by engaging with our retail partners, such as Best Buy in the United States and MediaMarkt in Europe. Through these retail partners, we were able to place our products in over 1,000 physical locations in the United States and Europe as of the end of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Online Distribution Network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sell smart e-scooters and accessories online through third-party e-commerce platforms and on our own online store.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the online to offline model, seamlessly integrating the online and offline networks to provide a seamless, consistent experience for our customers. These online platforms act as conduits for influencing customers and directing sales to physical stores. Our customers can conveniently place orders online and pick up their scooters at the franchised stores.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entered into standard cooperation agreements with third-party e-commerce platforms, pursuant to which the e-commerce platforms provide us sales and price settlement services, and charge us commission fees and technical support annual fees. We are responsible for the logistics, customer services and after-sale services for the products sold on these platforms.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focus on promoting awareness of our brand generally and in particular as a lifestyle brand with smart e-scooters globally. Our brand and our e-scooters are marketed to retail customers through digital and experiential activities as well as through promotional and advertising activities. We aim to engage in cost-effective marketing activities by taking advantage of social media and to build an online and offline ecosystem of users that will promote awareness of our brand. To a lesser extent, we engage out-of-home advertising, such as through billboard advertising in cities, advertising on transportation stops, and etc. Our marketing efforts include the following: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Online marketing</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Leveraging our sophisticated data analytics capabilities, we are able to gain a deep understanding of our target customer profiles, such as demographics and interests. With this knowledge, we precisely direct our marketing efforts through targeted online channels to efficiently reach new customers with matching profiles or existing customers for repeat purchases. We conduct online marketing through channels such as e-commerce platforms, online video platforms, social media, and search engines. We also leverage the major media popular with our target groups to regularly publish news and updates about our company, such as our product launch events. We conduct joint marketing activities with other brands. We also utilize our social media accounts and the NIU app to distribute original content to, and interact with, our followers and users. Through these efforts, we deliver key messages to achieve effective marketing.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Offline marketing</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 offline marketing and advertising through product roadshows, ads on transit stops, LCD billboards, exhibitions and festivals. To achieve greater efficiency in our offline marketing, we leverage smart riding data collected from our e-scooters. In each city, we utilize a data analysis function that shows anonymously where NIU users ride and park our e-scooters, as well as where potential users are concentrated. These data results allow us to select optimal offline advertising locations, such as bus and subway stops, train and airport terminals, residential buildings, LCD billboards, stadiums and exhibition centers, to reach our target consumer groups or organize product roadshows in the most relevant venues.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Integrated marketing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Leveraging our excellent product quality, trendy and youthful brand image, and strong customer loyalty, we utilize integrated marketing strategies to establish NIU as a premium and smart e-scooter brand. We actively participate in EICMA, a leading global exhibition for electric mobility, to demonstrate our brand and technology leadership globally. We also regularly attend other kinds of exhibitions.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consistently collaborate with top brands, trendy groups and famous IPs to organize marketing activities aimed at promoting our brand, including collaborations with Razer, The North Face, Kumamon, JD Gaming, Alipay and Amaps. In 2025, we deepened our collaboration with the popular game “Game for Peace.” This ongoing partnership provides an immersive touchpoint for young gamers to connect closely with the NIU brand in the gaming environment, further deepens brand penetration into youth demographics, and strengthens our brand recognition among next-generation audiences.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execute comprehensive marketing activities on platforms like Douyin, Tmall and JD, featuring new product launch livestreams, local lifestyle livestreams, and e-commerce festival promotions, alongside collaborations with KOLs for product endorsements. These activities achieved record-breaking performance across all platforms, driving significant traffic growth for our retail partners, enhancing brand exposure, and fueling a substantial increase in retail GMV.</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organize corporate events, including new product launches and key milestone media events. Our product launch events have been attended by large live audiences and have also received extensive media coverage. We have held dedicated launch events for our flagship models under the NQi, MQi, UQi, FQi, KQi, SQi, and XQi series, in which we emphasize product performance to highlight our technological capabilities, reinforce our premium brand positioning, and promote the NIU lifestyle.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Overseas marketing</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invest in overseas marketing with a view to raise our brand awareness in international markets. We adopt a dynamic marketing strategy that combines traditional public relations, tactical digital marketing, and strategic retail and event marketing.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active participation in global, national, and industrial exhibitions and roadshows has significantly elevated the NIU brand’s visibility internationally. In addition to EICMA in Milan, we attended AIMExpo in Las Vegas, IMOT in Munich and Salon Du 2 Roues in Lyon, all of which are well-known in the global mobility industry.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in the battery-powered electric two-wheeled vehicles market, which is a segment of the electric two-wheeled vehicles market. The segment is growing rapidly, and we believe we maintain competitive advantages in a number of areas, including brand, product design and quality, smart features, omnichannel retail model, customer satisfaction, and a loyal customer base.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“Item 3. Key Information—D. Risk Factors—Risks Related to Our Business and Industry—We may face intense competition in the electric two-wheeled vehicles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depends, at least in part, on our ability to protect our core technology and intellectual property. We rely on a combination of patents, patent applications, trade secrets, including know-how, copyright laws, trademarks, intellectual property licenses and other contractual rights to establish and protect our proprietary rights in our technology. In addition, we enter into confidentiality and non-disclosure agreements with our employees, distributors, business partners and suppliers. The agreements we entered into with our employees also provide that all software, inventions, developments, works of authorship and trade secrets created by them during the course of their employment are our property.</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intellectual property rights are critical to our business. As of December 31, 2025, we owned 617 patents, 1,028 registered trademarks and 33 copyrights relating to various aspects of our operations and two registered domain names, including </w:t>
      </w:r>
      <w:r>
        <w:rPr>
          <w:rFonts w:ascii="Times New Roman" w:cs="Times New Roman" w:eastAsia="Times New Roman" w:hAnsi="Times New Roman"/>
          <w:sz w:val="18"/>
          <w:szCs w:val="18"/>
          <w:i w:val="1"/>
          <w:iCs w:val="1"/>
          <w:u w:val="single" w:color="auto"/>
          <w:color w:val="auto"/>
        </w:rPr>
        <w:t>www.niu.com</w:t>
      </w:r>
      <w:r>
        <w:rPr>
          <w:rFonts w:ascii="Times New Roman" w:cs="Times New Roman" w:eastAsia="Times New Roman" w:hAnsi="Times New Roman"/>
          <w:sz w:val="18"/>
          <w:szCs w:val="18"/>
          <w:color w:val="auto"/>
        </w:rPr>
        <w:t>. Of the 1,028 registered trademarks, 155 are registered in mainland China and 873 in other countries and regions. As of the same date, we had 137 applications for patents and trademarks pending in mainland China, Europe and other jurisdictions.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section sets forth a summary of the most significant laws, regulations and rules that affect our business activities in mainland China and our shareholders’ rights to receive dividends and other distributions from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Production of Electric Bicycles</w:t>
      </w:r>
    </w:p>
    <w:p>
      <w:pPr>
        <w:spacing w:after="0" w:line="14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On July 9, 2005, the State Council of the PRC promulgated the Regulation of the PRC on the Administration of Production License for Industrial Products, or the Production License Regulations, which was last amended on July 20, 2023 to take effective on the same date. On April 21, 2014, the General Administration of Quality Supervision, Inspection and Quarantine, or the AQSIQ, issued the Measures for the Implementation of the Regulations of the PRC Administration of Production Licenses for Industrial Products, or the Measures, which was recently revised by the SAMR on March 18, 2025. The latest version took effect on May 1, 2025. According to the Production License Regulations and the Measures, any enterprise that has not obtained a production license for a product listed in the Announcement of the Product Catalog Implementing the Production Licensing System, or the Production Catalog, which was issued by the General Administration of Quality Supervision, Inspection and Quarantine (abolished), or the AQSIQ on November 20, 2012, must not produce the relevant product. An enterprise must file an application to the provincial administration of quality and technology supervision for the license of producing the products listed in the Production Catalog. Otherwise, the authorities can impose fines and other administrative sanctions, and serious violations may result in criminal liabilities. According to the Production Catalog, most of our products are classified as electric bicycles, which are industrial products that fall within the scope of Production License Regulations and Measures. Thus, we have obtained the appropriate production license thereof. On June 24, 2017, the State Council issued the Decision on Adjusting the Catalog for the Administration of Production Permits for Industrial Products and on Trying out the Simplification of Approval Procedures, or the Decision. Pursuant to the Decision, the production license for electric bicycle was canceled and was changed to implement mandatory product certification management. According to Announcement on the Issuance of Administrative Arrangements for the Transformation of Electric Bicycle Products from Licensing to Compulsory Product Certification by the SAMR and the National Standardization Management Committee on July 2, 2018, the transition period from production license management of electric bicycle to China Compulsory Certification management was from August 1, 2018 to April 14, 2019. The Safety Technical Specification for Electric Bicycle (GB17761-2024) promulgated by the SAMR and the National Standardization Management Committee on December 31, 2024 and effective on September 1, 2025, is the main national standards governing electric bicycles. The New Electric Bicycle Standard replaced the General Technical Requirements for Electric Bicycles (GB17761-2018), or the Old Standard, which were issued by the Quality and Technology Supervision Bureau on May 15, 2018 and became effective from April 15, 2019 and has been replaced by the updated Safety Technical Specification for Electric Bicycle (GB17761-2024), which became effective on September 1, 2025. On October 1, 2024, the State Administration for Market Regulation, the Ministry of Industry and Information Technology, the Ministry of Public Security and the National Fire and Rescue Administration jointly issued the Announcement on Strengthening Electric Bicycle Product Access and Industry Standardized Management, emphasizing, among others, that national mandated standards for electric bicycle shall be strictly complied with and the compulsory certification shall be strictly implemented. On October 15, 2024, China Quality Certification Center issued the Notice on Implementation of the New Version of the Standard for CCC Certification of Electric Bicycles. Starting from November 1, 2024, entities seeking electric bicycle certification must follow this 2024 edition of CCC Certification. Certificates issued under the 2023 edition will remain valid, while the valid certifications issued prior to the 2024 edition must complete the certification changes by October 31, 2024, failure to do which will result in temporarily suspension, or even revocation of the certification if the changes are not completed within a one-year transitional period. See “Item 3. Key Information —D. Risk Factors—Risks Related to Our Business and Industry—Our products are subject to safety standards and failure to satisfy such mandated standards would have a material adverse effect on our business and operating results.” Furthermore, on April 21, 2023, the MIIT issued certain recommended industrial standards on the production and design standards of electric bicycles and spare parts, including the Technical Specifications for Handlebar of Bicycles (QB/T 1715-2023), the Specifications and Dimensions of Lithium-ion Battery for Electric Bicycles (QB/T 4428-2023), the General Technical Specifications for Electric Bicycles (QB/T 5869-2023), and the General Technical Specifications for Electric Bicycles’ Electronic Control Units (QB/T 5870-2023), all of which came into effect on November 1, 2023, for enterprises’ reference.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Qualification of Production of Electric Motorcycles</w:t>
      </w:r>
    </w:p>
    <w:p>
      <w:pPr>
        <w:spacing w:after="0" w:line="135" w:lineRule="exact"/>
        <w:rPr>
          <w:sz w:val="20"/>
          <w:szCs w:val="20"/>
          <w:color w:val="auto"/>
        </w:rPr>
      </w:pPr>
    </w:p>
    <w:p>
      <w:pPr>
        <w:jc w:val="both"/>
        <w:spacing w:after="0" w:line="200" w:lineRule="exact"/>
        <w:rPr>
          <w:sz w:val="20"/>
          <w:szCs w:val="20"/>
          <w:color w:val="auto"/>
        </w:rPr>
      </w:pPr>
      <w:r>
        <w:rPr>
          <w:rFonts w:ascii="Times New Roman" w:cs="Times New Roman" w:eastAsia="Times New Roman" w:hAnsi="Times New Roman"/>
          <w:sz w:val="18"/>
          <w:szCs w:val="18"/>
          <w:color w:val="auto"/>
        </w:rPr>
        <w:t>Pursuant to the Administration Measures for Access of Motorcycle Manufacturing, or the Motorcycle Manufacturing Measures, issued on November 30, 2002 and the Implementing Rules of the Administration Measures for Access of Motorcycle Manufacturing, or the Motorcycle Manufacturing Rules, issued on December 31, 2002, enterprises must pass the production access examination and obtain the Motorcycle Production Access Certificate before manufacturing motorcycles in mainland China, and if an enterprise conducts a motorcycle manufacturing consignment, both the consignee and the consignor are required to obtain the Motorcycle Production Access Certificate. Pursuant to the General Specifications for Electric Motorcycles and Electric Mopeds, or the General Specifications, which was issued on June 25, 2009 and effective on January 1, 2010, the General Specifications applies to electric motorcycles and electric mopeds, which was replaced by the updated General Specifications for Electric Motorcycles and electric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GB/T 24158-2018), effective on April 1, 2019. On January 14, 2010, the MIIT, issued the Circular on Matters Related to Electric Motorcycle Production Enterprises and Product Access Management, or the Circular, which imposes production restrictions on enterprises who currently produce or intend to produce electric motorcycles. Such enterprises must satisfy the MIIT’s access requirements and be on the list of the Announcement on Vehicle Manufacturers and Products before continuing or commencing production. On November 27, 2018, the MIIT promulgated the Administration Measures for Access of the Road Motor Vehicle Manufacturing Enterprises and Products, which became effective on June 1, 2019 and replaced the Motorcycle Manufacturing Measures and the Motorcycle Manufacturing Rules. According to the Administration Measures for Access of the Road Motor Vehicle Manufacturing Enterprises and Products, the authorities will continue to implement a classified access administration of enterprises engaged in the manufacturing of road motor vehicles and road motor vehicle products, and road motor vehicle design enterprises are encouraged to cooperate with or consign to licensed road motor vehicle manufacturing enterprises in manufacturing process. We entered into a manufacturing cooperation agreement with a motorcycle manufacturer with required qualifications to manufacture certain models classified as electric motorcycles. Besides, Jiangsu Xiaoniu has been listed in the Road Motor Vehicle Manufacturers and Products List (batch 327) issued by MIIT on January 13, 2020 as an enterprise permitted to manufacture motorcycles and we have obtained the World Manufacturer Identifier (WMI) and Vehicle Identification Number (VIN). See “Item 3. Key Information—D. Risk Factors—Risks Related to Our Business and Industry—Our products are subject to safety standards and failure to satisfy such mandated standards would have a material adverse effect on our business and operating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Registration of Electric Bicycles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Road Traffic Safety Law of the PRC (Revised in 2021), a non-motorized vehicle which ought to be lawfully registered shall be deemed street-illegal until it has been registered with the local traffic administrative department. In addition, the categories of such non-motorized vehicles shall be determined by provincial governments in light of their respective actual local situation and shall consist of technical standards in terms of overall weight, braking performance, overall size and reflectors, which all non-motorized vehicles should abide by. We have obtained the production license for electric bicycles according to applicable regulations. We will adjust the technical standards of our e-scooters to be sold at local markets until the technical standards meet local requirements and our e-scooter is listed on the local catalog which indicates the e-scooters on it are permitted to be lawfully registered.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Circular on Strengthening the Management of Electric Bicycles, jointly promulgated by the State Administration for Industry and Commerce, the AQSIQ, the Ministry of Public Security and the MIIT on March 18, 2011, any non-compliant vehicle may not be registered as a non-motorized vehicle, which in turn means it shall be deemed street-illegal.</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Therefore, some PRC local governments issued restrictive provisions on electric bicycles. Some local governments (such as Beijing, Shanghai, Anhui province, Jiangsu province, Guangxi province, Zhejiang province and Gansu province) implemented a catalog management system requiring (i) restricting and prohibiting sales and/or use of electric two-wheeled vehicles that do not meet the required standards; and/or (ii) end users to register electric two-wheeled vehicles. For example, on October 20, 2013, the Shanghai Municipal People’s Congress promulgated the Measures for the Management of Non-motorized Vehicles in Shanghai, which stipulates that any non-motorized vehicle that is sold in Shanghai must be registered with relevant department. Most of our products have obtained sales approval in Beijing, Shanghai, Anhui province, Jiangsu province, Guangxi province, Zhejiang province, Gansu province and other major provinces and cities. In addition, we will cooperate with local governments that require us to obtain approval of sales. On the other hand, several local municipal governments (such as Xiamen, Shenzhen and Dongguan) have promulgated rules and regulations prohibiting the riding of electric bicycles/electric scooters in specific districts, and also restricting the use of registered electric two-wheeled vehicles. Due to the limited number of such districts, which are not our major source of revenue, the regulations of prohibiting and restricting do not have substantial effect on our revenue.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Registration of Motorcycles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Provisions on the Registration of Motor Vehicles of the PRC promulgated on May 27, 2008, amended on December 17, 2021 and came into effect on May 1, 2022, the owner of a motor vehicle, including motorcycles, shall apply for registration of such motor vehicle after obtaining the certificate of qualified motor vehicle safety technical inspection from a local motor vehicle safety technical inspection institution. On October 18, 2014, the Circular of the Ministry of Industry and Information Technology and the Ministry of Public Security on Strengthening the Production and Registration Management of Minibuses and Motorcycles was issued, which reiterates that motorcycles must be registered, and in order to simplify the motorcycle registration procedures in rural areas, motorcycles may gradually be sold with license, and motorcycle sales enterprises may be entrusted to register motorcycles before motorcycles are sold.</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recent years, in order to control the number of motor vehicles on the road, certain local governments have issued restrictions on the issuance of vehicle license plates, but these restrictions generally do not apply to the issuance of license plates for new energy vehicles, which makes it easier for purchasers of new energy vehicles to obtain automobile license plates. For example, pursuant to the Implementation Measures on Encouraging Purchase and Use of New Energy Vehicles in Shanghai, local authorities will issue new automobile license plates to qualified purchasers of new energy vehicles without requiring such qualified purchasers to go through certain license-plate bidding processes and to pay license-plate purchase fees.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Production Safety</w:t>
      </w:r>
      <w:r>
        <w:rPr>
          <w:rFonts w:ascii="Times New Roman" w:cs="Times New Roman" w:eastAsia="Times New Roman" w:hAnsi="Times New Roman"/>
          <w:sz w:val="26"/>
          <w:szCs w:val="26"/>
          <w:b w:val="1"/>
          <w:bCs w:val="1"/>
          <w:i w:val="1"/>
          <w:iCs w:val="1"/>
          <w:color w:val="auto"/>
          <w:vertAlign w:val="superscript"/>
        </w:rPr>
        <w:t>,</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Production Safety Law of the PRC, or the Production Safety Law, which took effect on November 1, 2002 and was amended on August 31, 2014 and June 10, 2021, the entities that are engaged in production and business operation activities must implement national industrial standards which guarantee the production safety and comply with production safety requirements provided by the laws, administrative regulations and national or industrial standards. An entity must take effective measures for safety production, maintain safety facilities, examine the safety production procedures, educate and train employees and take any other measures to ensure the safety of its employees and the public. An entity or its relevant persons-in-charge which has failed to perform such safety production liabilities will be required to make amends within a time limit or face administrative penalties. If it fails to amend within the prescribed time limit, the production and business operation entity may be ordered to suspend business for rectification, and serious violations may result in criminal liabilities. Our production behaviors are compliant with the Production Safety Law so far.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Product Quality</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Product Quality Law of the PRC, or the Product Quality Law, was adopted on February 22, 1993 and amended on July 8, 2000, August 27, 2009 and December 29, 2018. The Product Quality Law applies to anyone who manufactures or sells any product within the territory of mainland China. It is prohibited from producing or selling counterfeit products in any form, including counterfeit brands, or providing false information about the product manufacturers. Violation of national or industrial standards may result in civil liability and administrative penalties such as compensation, fines, suspension of business and confiscation of illegal income, and serious violations may result in criminal liabilities. We are in compliance with any of provisions of the Product Quality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the Application Scope of the First Batch of Products Implementing Mandatory Product Certification Catalogue effective on July 1, 2002, motorcycles and bicycles with gasoline and other engines were within the product catalogue that must apply the compulsory product certification. The Administrative Regulations for Compulsory Product Certification was promulgated on July 3, 2009, amended on September 29, 2022, and took effect on November 1, 2022, pursuant to which that several specified products must not be delivered, sold, imported or used in other business activities until they complete the compulsory product certification and be labeled with certification mark. However, on June 24, 2017, the State Council issued the Decision on Adjusting the Catalog for the Administration of Production Permits for Industrial Products and on Trying out the Simplification of Approval Procedures, or the Decision. Pursuant to the Decision, the production license for electric bicycle was canceled and was changed to implement mandatory product certification management. According to Announcement on the Issuance of Administrative Arrangements for the Transformation of Electric Bicycle Products from Licensing to Compulsory Product Certification by the SAMR and the National Standardization Management Committee on July 2, 2018, the transition period from production license management of electric bicycle to China Compulsory Certification management was from August 1, 2018 to April 14, 2019. On March 14, 2019, the Opinions of the SAMR, the MIIT and the Ministry of Public Security on Intensifying Supervision of the Execution of National Standards for Electric Bicycles, or the Opinions, was promulgated. The Opinions provides that the market supervision department shall strengthen the management of China Compulsory Certification for electric bicycles, strengthen inspections of certification agencies and manufacture enterprises, and shall only allow vehicles that meet the Electric Bicycle Standard and obtained China Compulsory Certification flowing into the market. We have obtained China Compulsory Certification for all of our current for-sale products, and will try to obtain China Compulsory Certification for our future products. On December 27, 2025, the National Certification and Accreditation Administration issued the Announcement of the National Certification and Accreditation Administration on the Pilot Reform of the China Compulsory Certification Mark for Power Banks and Other Products, which requires that, starting from March 1, 2026, electric bicycles and their safety accessories that newly obtain CCC certification certificates must bear a CCC traceability QR code in accordance with the requirements of this announcement before they may be manufactured, sold, imported, or used in other business activities. We will affix the CCC traceability QR code to electric bicycles and safety accessories for which we newly obtain CCC certification certificates in the future. See “Item 3. Key Information— D. Risk Factors—Risks Related to Our Business and Industry—Our products are subject to safety standards and failure to satisfy such mandated standards would have a material adverse effect on our business and operating results.”</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Civil Code of the PRC, promulgated by the National People’s Congress on May 28, 2020 and effective on January 1, 2021, in the event of damages caused to other party due to product defect, the infringed party may seek compensation from the manufacturer of the products or from the seller of the products and shall have the right to request the manufacturer and the seller to bear tortious liability such as cessation of infringement, removal of obstruction, elimination of danger, etc.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Product Recall</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SAMR issued the Interim Provisions on the Administration of Recall of Consumer Goods on November 21, 2019, which took effect on January 1, 2020. Our products, accordingly, as one kind of customer goods, are subject to the requirements set out thereunder. Pursuant to the Interim Provisions on the Administration of Recall of Consumer Goods, if a manufacturer is aware of any potential defect in its products, or receive such notice from the government authorities, it must investigate in a timely manner and report the results of such investigation to the authorities. Where any defect is found during the investigation, the manufacturer must immediately cease to manufacture, sell, or import the relevant products and recall such products. We have not received any such notice from authorities, or initiated, voluntarily or involuntarily, any product recalls in accordance with such provisions. See “Item 3. Key Information—D. Risk Factors—Risks Related to Our Business and Industry—We may be compelled to undertake product recalls or take other actions, which could adversely affect our brand image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Foreign Trade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Foreign Trade Law of the PRC, promulgated on May 12, 1994 and amended on April 6, 2004, November 7, 2016, December 30, 2022, and December 27, 2025 and the Measures for the Record Filing and Registration of Foreign Trade Business Operators promulgated by the Ministry of Commerce on June 25, 2004, effective on July 1, 2004, and amended on August 18, 2016, November 30, 2019 and May 10, 2021, foreign trade operators engaged in the import and export of goods or the import and export of technology must register with the Ministry of Commerce or its authorized institution. In addition, if an entity imports or exports goods as consignee or consignor, it shall file with customs according to the Provisions of the People’s Republic of China on the Administration of Recordation of Customs Declaration Entities, promulgated on November 19, 2021 and came into effect on January 1, 2022. We have made filings with authorities pursuant to the applicable provisions.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Foreign Investment</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Pursuant to the Special Administrative Measures for Market Access of Foreign Investment (Negative List) (2024 Edition), or the 2024 Negative List, jointly issued by the NDRC and the Ministry of Commerce on September 6, 2024 and enforced on November 1, 2024, the foreign investment related to design, manufacture and sale of electricity bicycles does not fall within the category of industries in which foreign investment is restricted or prohibited. The 2024 Negative List enumerates the restricted industries and the prohibited industries in relation to foreign investment, and the industries which do not fall within the 2024 Negative List, shall be administered under the principle of equal treatment to domestic and foreign investment. On March 15, 2019, the Foreign Investment Law of PRC was issued by the National People’s Congress and took effect on January 1, 2020, which also provides that the industries in which foreign investment is not restricted and prohibited shall be administered under the principle of equal treatment to domestic investment. On December 26, 2019, the State Council published the Implementation Rules of the Foreign Investment Law, which took effect on January 1, 2020. Furthermore, on December 19, 2020, the NDRC and the Ministry of Commerce jointly issued the Measures for Security Review of Foreign Investment, effective on January 18, 2021, which provides detailed guidance regarding security review of foreign investment that has a potential impact on national security. On July 25, 2023, the State Council issued the Opinions on Further Optimizing the Foreign Investment Environment and Increasing Efforts to Attract Foreign Investment, which provides certain policy supports aimed at vigorously attracting and utilizing foreign investment.</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Foreign investment in telecommunications companies in mainland China is governed by the Provisions on Administration of Foreign-Invested Telecommunications Enterprises, or the Foreign-Invested Telecommunications Enterprises Provisions, which were promulgated by the State Council on December 11, 2001, and amended on September 10, 2008 and February 6, 2016. The Foreign-Invested Telecommunications Enterprises Provisions prohibits a foreign investor from holding over 50% of the total equity interest in any value-added telecommunications service business in mainland China. On March 29, 2022, the State Council published the Decision of the State Council to Amend and Repeal Certain Administrative Regulations, among which the Foreign-Invested Telecommunications Enterprises Provisions is further amended. The latest version removes certain requirements for foreign-invested telecommunications enterprises and came into effect on May 1, 2022. We operate our website </w:t>
      </w:r>
      <w:r>
        <w:rPr>
          <w:rFonts w:ascii="Times New Roman" w:cs="Times New Roman" w:eastAsia="Times New Roman" w:hAnsi="Times New Roman"/>
          <w:sz w:val="18"/>
          <w:szCs w:val="18"/>
          <w:i w:val="1"/>
          <w:iCs w:val="1"/>
          <w:u w:val="single" w:color="auto"/>
          <w:color w:val="auto"/>
        </w:rPr>
        <w:t>www.niu.com</w:t>
      </w:r>
      <w:r>
        <w:rPr>
          <w:rFonts w:ascii="Times New Roman" w:cs="Times New Roman" w:eastAsia="Times New Roman" w:hAnsi="Times New Roman"/>
          <w:sz w:val="18"/>
          <w:szCs w:val="18"/>
          <w:color w:val="auto"/>
        </w:rPr>
        <w:t xml:space="preserve"> and our NIU app through Beijing Niudian and sell our e-scooters and peripheral products on the website.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Overseas Investment</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26, 2017, the NDRC issued the Management Rules for Overseas Investment by Enterprises, or the NDRC Order 11. As defined in the NDRC Order 11, “overseas investment” refers to the investment activities conducted by an enterprise located in the territory of mainland China, either directly or through an offshore enterprise under its control, by making investment with assets and equities or providing financing or a guarantee in order to acquire overseas ownership, control, management rights and other related interests. Furthermore, overseas investment by a Chinese individual through overseas enterprises under his/her control is also subject to the NDRC Order 11. According to the NDRC Order 11, (i) direct overseas investment by Chinese enterprises or indirect overseas investment by Chinese enterprises or individuals in sensitive industries or sensitive countries and regions requires prior approval by the NDRC; (ii) direct overseas investment by Chinese enterprises in non-sensitive industries and non-sensitive countries and regions requires prior filing with the NDRC; and (iii) indirect overseas investment of over US$300 million by Chinese enterprises or individuals in non-sensitive industries and non-sensitive countries and regions requires reporting with the NDRC. Uncertainties remain with respect to the application of the NDRC Order 11. We are not sure if we were to use a portion of the proceeds raised from our financing activities to fund investments in and acquisitions of complementary business and assets outside of mainland China, such use of U.S. dollars funds held outside of mainland China would be subject to the NDRC Order 11. There are very few interpretations, implementation guidance or precedents to follow in practice. We will continue to monitor any new rules, interpretation and guidance promulgated by the NDRC and communicate with the NDRC and its local branches to seek their opinions, when necessary.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Foreign Debt</w:t>
      </w:r>
    </w:p>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January 8, 2003, the NDRC, Ministry of Finance and SAFE promulgated the Interim Provisions on the Management of Foreign Debts, which was amended on July 26, 2022 and became effective on September 1, 2022, pursuant to which the summation of the accumulated medium-term and long-term debts borrowed by foreign-invested entities and the balance of short-term debts shall not exceed the surplus between the total investment in projects approved by the verifying departments and the registered capital, or the Surplus Limit. Within the range of the Surplus Limit foreign-invested entities may borrow foreign loans at their own will. If the loans exceed the Surplus Limit, the total investment in projects shall be reexamined by the original examination and approval departments. In addition, on January 11, 2017, People’s Bank of China promulgated the Notice of the People’s Bank of China on Full-coverage Macro-prudent Management of Cross-border Financing, or PBOC Circular 9, which sets out an upper limit for mainland China entities, including foreign-invested entities and domestic-invested entities, regarding their foreign debts, or the Financing Limit. Pursuant to PBOC Circular 9, the Financing Limit for entities shall be calculated based on the following formula: the Financing Limit = net assets * cross-border financing leverage ratio * macro-prudent regulation parameter. As to net assets, entities shall take the net assets value stated in their respective latest audited financial statement in calculation; the cross-border financing leverage ratio for enterprises is two (2); the macro-prudent regulation parameter is one (1). PBOC Circular 9 does not supersede the Interim Provisions on the Management of Foreign Debts. PBOC Circular 9 stipulates a one-year transitional period, or Transitional Period, from its promulgation date for foreign-invested entities, during which they could choose the calculation method of foreign debt upper limit based on either (i) the Surplus Limit, or (ii) the Financing Limit. After the Transition Period, the method applicable to foreign-invested entities shall be determined by the People’s Bank of China and SAFE separately. On March 11, 2020, the People’s Bank of China and SAFE issued the Notice of Adjusting the Macro-prudent Regulation Parameter for Full-covered Cross-border Financing, which adjusted the macro-prudent regulation parameter as set forth in the Circular 9 from 1 to 1.25. However, although the Transitional Period ended on January 10, 2018, as of December 31, 2025, the People’s Bank of China or SAFE has not issued any new regulations regarding the application calculation method of foreign debt upper limit for foreign-invested entities. As to domestic-invested entities, they are only subject to the Financing Limit from the date of promulgation of PBOC Circular 9 regardless of the Transitional Period. On January 5, 2023, the NDRC issued the Administrative Measures for the Examination and Registration of Medium and Long-term Foreign Debts of Enterprises, which took effect on February 10, 2023, setting out regulatory standards and procedures for enterprises when issuing foreign debts that over one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Internet Information Security and Privacy Protection</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Internet information in mainland China is heavily regulated and restricted as a national security issue. The SCNPC enacted the Decisions on Maintaining Internet Security in December 2000, as further amended in August 2009, which impose criminal liabilities on persons or entities that: (i) gain improper entry into a computer or system of strategic importance; (ii) disseminate politically disruptive information;</w:t>
      </w:r>
    </w:p>
    <w:p>
      <w:pPr>
        <w:spacing w:after="0" w:line="1" w:lineRule="exact"/>
        <w:rPr>
          <w:sz w:val="20"/>
          <w:szCs w:val="20"/>
          <w:color w:val="auto"/>
        </w:rPr>
      </w:pPr>
    </w:p>
    <w:p>
      <w:pPr>
        <w:jc w:val="both"/>
        <w:ind w:firstLine="8"/>
        <w:spacing w:after="0" w:line="253" w:lineRule="auto"/>
        <w:tabs>
          <w:tab w:leader="none" w:pos="34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leak state secrets; (iv) spread false commercial information; or (v) infringe intellectual property rights. The Ministry of Public Security has promulgated measures that prohibit the use of the internet in ways that would result in the leakage of state secrets or dissemination of socially destabilizing content. If an internet information service provider violates these measures, the Ministry of Public Security and the local security bureaus may revoke its operating license and shut down its websites.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Several Provisions on Regulating the Market Order of Internet Information Services issued by the MIIT in December 2011, an internet information service provider may not collect any user’s personal information or provide any such information to third parties without that user’s consent. It must also expressly inform that user of the method, content and purpose of the collection and processing of such user’s personal information and may only collect such information as necessary for the provision of its services. In addition, pursuant to the Decision on Strengthening the Protection of Online Information issued by the SCNPC in December 2012 and the Order for the Protection of Telecommunication and Internet User’s Personal Information issued by the MIIT in July 2013, any collection and use of a user’s personal information must be subject to the consent of the user, abide by the principles of legality, rationality and necessity and be within the specified purposes, methods and scopes.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November 2016, the SCNPC promulgated the Network Security Law of the PRC, or the Network Security Law, which took effect on June 1, 2017, which was amended on October 28, 2025 and took effect on January 1, 2026. Pursuant to the Network Security Law, a network operator, including, without limitation, internet information service providers, must take technical measures and other necessary measures in accordance with the provisions of applicable laws and regulations as well as the compulsory requirements of the national and industrial standards to safeguard the safe and stable operation of networks, effectively respond to network security incidents, prevent illegal and criminal activities and maintain the integrity, confidentiality and availability of network data. Any violation of the provisions and requirements under the Network Security Law may subject an internet service provider to warnings, fines, confiscation of illegal gains, revocation of licenses, cancelation of filings, closedown of websites or even criminal liabilities. On December 28, 2021, the CAC, together with other twelve government authorities, jointly released the Cybersecurity Review Measures, which came into effect on February 15, 2022. The Measures require operators of critical information infrastructure to go through cybersecurity review when purchasing any network products and services with a potential impact on national security. On March 17, 2023, the SAMR and the National Standardization Administration Committee announced the issuance of the National Standards of the People’s Republic of China (No. 1 of 2023), which contains 12 sets of national standards on cybersecurity under the National Technical Security Standardization Committee of China, or TC260, including the Information Security Technology - Basic Requirements for Competence of Cybersecurity Workforce (GB/T 42446-2023).</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26, 2023, the amended Counterespionage Law of the People’s Republic of China was promulgated which came into effect on July 1, 2023, establishing a close connection between data security and national security. It provides, among others, that engaging in the unauthorized provision of data or conducting cyberattacks against specific authorities is categorized as acts falling within the scope of espionage, and unlawfully acquiring or possessing documents, data, materials, or items that qualify as state secrets is strictly forbidden.</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29, 2023, the Secretariat of the National Information Security Standardization Technical Committee published the Practice Guidelines for Cybersecurity Standards - Implementation Guidelines for Cyber Data Security Risk Assessment, implementing the requirements of the Data Security Law on data security risk assessment, which outlines the approach, workflow and key components of the data security risk assessment, including data security management, data processing activities, data security technology, and personal information protection. On September 11, 2025, the CAC promulgated the Administrative Measures for the Reporting of Cybersecurity Incidents, which imposed obligations on network platform operators to report to the in-charge cyberspace administration when an incident that might endanger network security occurred.</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November 2019, the Secretariat of the CAC, the General Office of the MIIT, the General Office of the Ministry of Public Security and the SAMR jointly promulgated the Circular on Issuing the Methods for Identifying Unlawful Collection and Use of Personal Information of Applications, which defines actions that may be regarded as violating the Network Security Law and other personal information protection related regulations, including, among other things, failure to publicize the rules for collection and use of personal information, failure to expressly state the purpose, manner and scope of collecting and using personal information, collection and use of personal information without consent of users, provision of personal information to others without consent, and failure to provide the function of deleting or correcting personal information as required by law. Furthermore, on August 20, 2021, the SCNPC promulgated the Personal Information Protection Law, which came into effect on November 1, 2021. The Personal Information Protection Law integrates the scattered rules with respect to personal information rights and privacy protection and aims at protecting the personal information rights and interests, regulating the processing of personal information and promoting the reasonable use of personal information. Personal information, as defined in the Personal Information Protection Law, refers to information related to identified or identifiable natural persons and recorded by electronic or other means, but excluding the anonymized information. The Personal Information Protection Law provides the circumstances under which a personal information processor could process personal information, which include but not limited to, where the consent of the individual concerned is obtained and where it is necessary for the conclusion or performance of a contract to which the individual is a contractual party. It also stipulates certain specific rules with respect to the obligations of a personal information processor, such as to inform the purpose and method of processing to the individuals, and the obligation of the third party who has access to the personal information by way of co-processing or delegation.</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Data Security Law of the People’s Republic of China, or the Data Security Law, was passed on June 10, 2021 and came into effect on September 1, 2021. The Data Security Law requires the data processor to establish and improve a whole-process data security management system, organize data security education and training, and take corresponding technical measures and other necessary measures to safeguard data security. In conducting data processing activities by using the internet or any other information network, the data processor shall perform the above data security protection obligations on the basis of the hierarchical cybersecurity protection system. Any violation of the provisions and requirements under the Data Security Law may subject a data processor to rectifications, warnings, fines, suspension of the related business, revocation of licenses or even criminal liabilities.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28, 2021, the CAC and other twelve PRC regulatory authorities jointly revised and promulgated the Measures for Cybersecurity Review, or the Cybersecurity Review Measures, which came into effect on February 15, 2022. Pursuant to the Cybersecurity Review Measures, besides the procurement of network products and services by critical information infrastructure operators, any data processing activities by network platform operators that affects or may affect national security shall be subject to the cybersecurity review as well. In accordance with the Cybersecurity Review Measures, operators mastering personal information of more than one million users must apply to the Cybersecurity Review Office for cybersecurity review when they seek for listing in a foreign country. However, the Cybersecurity Review Measures and the Regulations on the Network Data Security remain unclear on whether the requirements will be applicable to companies that have been listed in the United States.</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the Data Export Measures were released by the CAC on July 7, 2022 and came into effect on September 1, 2022. The Data Export Measures require that any data processor which processes or exports personal information exceeding certain volume threshold under such measures shall apply for security assessment by the CAC before transferring any personal information abroad. The security assessment requirement also applies to any transfer of important data outside of China.</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2022, the MIIT released the Administrative Measures for Data Security in the Field of Industry and Information Technology (for Trial Implementation), which came into effect on January 1, 2023. The Administrative Measures for Data Security in the Field of Industry and Information Technology (for Trial Implementation) requires the data processor in the field of industry and information technology to review data on a periodical basis, identify important data and core data in accordance with the relevant standards and specifications, and form its specific catalogue.</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22, 2023, the CAC issued the Measures for the Standard Contract for the Outbound Transfer of Personal Information, or the Standard Contract Measures, which took effect on June 1, 2023. The Standard Contract Measures apply to the provision of personal information to overseas recipients through standard contract and set out detailed criteria relating to the formality and terms of such contracts. The Standard Contract Measures also requires the personal information processor to file such contract with the authorities within 10 business days after the contract is effective. To regulate the application of the outboard transfer of personal information through standard contact, the CAC has promulgated the First Edition and the Second Edition of Guidelines for the Recordation of the Standard Contracts for the Outbound Transfer of Personal Information on May 30, 2023 and March 22, 2024. On October 14, 2024, the CAC and the SAMR issued the Measures for the Certification of Cross-Border Transfer of Personal Information, which shall take effect on January 1, 2026 and apply to the provision of personal information by personal information processors to outside the PRC by way of personal information protection certification.</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16, 2023, the TC260 released the draft national standards entitled Information Security Technology - Certification Requirements for Cross-border Transmission of Personal Information, for public comments, which sets out the basic principles and requirements for the protection of the rights and interests of personal information subjects in the cross-border transmission of personal information, and outlines the standards for the third-party certification of companies engaged in the cross-border transfer.</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3, 2023, the CAC has issued the Measures for the Administration of Personal Information Protection Compliance Audits (for Public Comments), which stipulates that companies that process personal information of subjects in China shall undergo regular compliance audits. On August 8, 2023, the CAC released the Provisions on Security Management of the Application of Face Recognition Technology (for Trial Implementation), for public comments, which aimed at enhancing the oversight and responsible use of face recognition technology and stipulates, among others, that that face recognition technology can only be used when there is a specific purpose and sufficient necessity, and strict protection measures must be implemented.</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24, 2023, the CSRC released the Provisions on Strengthening the Confidentiality and Archives Administration Related to the Overseas Securities Offering and Listing by Domestic Enterprises, which took effect on March 31, 2023. These provisions require, among others, that mainland China domestic enterprises that seek to offer and list securities in overseas markets, either directly or indirectly, complete approval and filing procedures with the competent authorities, if such enterprises or their overseas listing entities provide or publicly disclose documents or materials involving state secrets and work secrets of PRC government authorities to certain securities companies, securities service institutions, overseas regulatory agencies and other entities and individuals. These provisions further stipulate that providing or publicly disclosing documents and materials which may adversely affect national security or public interests shall be subject to applicable procedures. We may be required to complete approval or filing procedures under these provisions or expend additional resources to comply with the provisions if we are found to fall within any of the foregoing circumstances.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28, 2023, the CAC released the Notice on Seeking Public Comments on the Provisions on Regulating and Promoting Cross-border Data Flow (Exposure Draft) of the PRC, which specifies the circumstances under which it is not required to apply for a security assessment for data to be provided abroad, to conclude a standard contract for personal information to be provided abroad, or to pass the certification for personal information protection. On March 22, 2024, the CAC formally issued the Regulations on Promoting and Regulating the Cross-border Data Flow, which clarifies the obligations of data processors with cross-border transfer of personal information, such as notification, obtaining individual consent, and conducting personal information protection impact assessments in accordance with laws and administrative regulations, and also sets out several exemptions, including cross-border data transfer (i) for concluding or performing a contract to which an individual is a party, (ii) for the cross-border HR management purpose according to the applicable internal labor rules and a collective contract entered into with the employees, (iii) to safeguard an individual’s life, health or property in the event of an emergency, and (iv) if the handler is not classified as a critical information infrastructure operator, involving less than 100,000 people’s non-sensitive personal information from January 1 of the current year.</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24, 2024, the State Council promulgated the Regulations on Network Data Security, which came into effect on January 1, 2025. The Regulations on Network Data Security stipulate certain requirements on the processing, protecting, and utilizing of network data, and further shed light on the protection of personal information, management of cross-border security of network data, and obligations of network platform service providers. Notably, the requirements therein include that, where network data processing activities carried out by a network data processor affect or may affect national security, national security review shall be conducted in accordance with relevant PRC regulations, without providing further explanation or interpretation for “affect or may affect national security.”</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12, 2025, the CAC published the Personal Information Protection Compliance Audit Management Measures, which will take effect on May 1, 2025. These measures mandate regular compliance audits for personal information handlers, with those handling data of over 10 million individuals required to audit biennially. Audits may be conducted by professional organizations, especially when significant risks or large-scale data breaches occur. Personal information handlers must support the audit process, rectify issues, and report to the competent departments, with additional oversight structures for large internet platforms.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14, 2025, the CAC promulgated Measures for the Certification for Outbound Cross-Border Transfer of Personal Information, which became effective on January 1, 2026. These measures constitute a key pillar of the compliance framework for cross-border personal data flows. It provides a pathway for protection certification by third-party professional institutions approved by the Certification and Accreditation Administration of the People’s Republic of China for scenarios that do not meet the conditions for security assessment reporting but require standard contract filing. By establishing a certification mechanism with a three-year validity period, it aims to offer enterprises a relatively stable and predictable cross-border compliance option, promoting lawful and orderly data flows while ensuring security.</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28, 2025, the SCNPC promulgated Decision of the Standing Committee of the National People’s Congress on Revising the Cybersecurity Law of the People’s Republic of China, which became effective on January 1, 2026. The amended Cybersecurity Law comprehensively strengthen the legal liability framework, significantly increasing fines for various violations and providing robust grounds for regulatory enforcement. Concurrently, the amendments proactively respond to technological trends by enshrining the principle of state support for AI security governance in the general provisions for the first time. It also explicitly authorizes necessary countermeasures against foreign activities that threaten China’s cybersecurity, reflecting a top-level design that balances development and security.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Value-Added Telecommunication Services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Telecommunications Regulations of the PRC, or the Telecommunications Regulations, promulgated by the State Council on September 25, 2000 and amended on July 29, 2014 and February 6, 2016, telecommunication service providers must obtain an operating license prior to the commencement operations. The Telecommunications Regulations categorize telecommunication services into basic telecommunication services and value-added telecommunication services. According to the Catalog of Telecommunications Business, attached to the Telecommunications Regulations, information services provided via fixed network, mobile network and internet fall within value-added telecommunication services.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2017, the MIIT promulgated the Administrative Measures on Telecommunications Business Operating Licenses. Under these regulations, a commercial operator of value-added telecommunication services must first obtain a license for value-added telecommunications business, known as ICP License, from the MIIT or its provincial level counterparts. The VIE, Beijing Niudian, the main operating entity which sells our products to third-parties, has obtained an ICP License for information service business.</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Mobile Internet Applications Information Services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Telecommunications Regulations and other regulations above, mobile app information service providers are especially regulated by the Administrative Provisions on Mobile Internet Applications Information Services, or the App Provisions, which were promulgated by the CAC on June 28, 2016 and amended in 2022. The latest version became effective on August 1, 2022.</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App Provisions, mobile app information service providers are required to obtain the qualifications prescribed by laws and regulations, take responsibility for the supervision and administration of mobile app information as required by laws and regulations and implement the information security management responsibilities.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21, 2023, the MIIT issued the Notice of Carrying out the Filing of Mobile Internet Applications, which proposes the requirements that holders of Apps engaged in internet information services within the PRC must fulfill the filing formalities in accordance with the relevant regulations and such holders shall not engage in the App internet information service without completion of such filing.</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implemented the necessary programs in our mobile app, including programs for data collection notification and for preventing data breach, damage and loss, to make sure the collection, protection and preservation of user information are in compliance with the App Provisions in all material aspects. See “Item 3. Key Information—D. Risk Factors—Risks Related to Our Business and Industry— We retain certain personal information about our users and may be subject to various privacy and consumer protection laws.”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Intellectual Property Rights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Mainland China has adopted comprehensive legislation governing intellectual property rights, including copyrights, patents, trademarks and domain names.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Copyright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Copyright Law of the PRC revised by the Standing Committee of the National People’s Congress on November 11, 2020 and came into effect on June 1, 2021, copyrights include personal rights such as the right of publication and that of attribution as well as property rights such as the right of production and that of distribution. Reproducing, distributing, performing, projecting, broadcasting or compiling a work or communicating the same to the public via an information network without permission from the owner of the copyright therein, unless otherwise provided in the Copyright Law of the PRC, constitutes an infringement of copyright. The infringer shall, among others, according to the circumstances of the case, undertake to cease the infringement, take remedial action, offer an apology and pay damages. We have registered our copyright on 24 sets of software codes regarding our BMS and other control or management systems.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Patent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Patent Law of the PRC promulgated by the Standing Committee of the National People’s Congress on October 17, 2020 and effective on June 1, 2021, the Detailed Rules for the Implementation of the Patent Law of the PRC (revised in 2023) promulgated by the State Council provide for patentable inventions, utility models and designs, which must meet three conditions: novelty, inventiveness and practical applicability. The State Intellectual Property Office under the State Council is responsible for examining and approving patent applications. The duration of a patent right is respectively 10 years for utility model, 15 years for design, and 20 years for invention, all of which shall commence from the date of application.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Trademark</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Trademark Law of the PRC promulgated by the Standing Committee of the National People’s Congress on August 23, 1982 and amended on February 22, 1993, October 27, 2001, August 30, 2013 and April 23, 2019, and the Regulation on the Implementation of the Trademark Law of the PRC (revised in 2014) promulgated by the State Council on August 3, 2002 and amended on April 29, 2014, the right to the exclusive use of a registered trademark is limited to trademarks which have been approved for registration and to goods for which the use of such trademark has been approved. The period of validity of a registered trademark is ten years, counted from the day that the registration is approved. According to this law, using a trademark that is identical to or similar to a registered trademark in connection with the same or similar goods without the authorization of the owner of the registered trademark constitutes an infringement of the exclusive right to use a registered trademark. The infringer shall, in accordance with the regulations, undertake to cease the infringement, remedial action, or pay damages. We have implemented various measures, including legal actions, to protect and defend our trademarks and intellectual property rights and address third-party trademark infringement cases as they are discovered from time to time. See “Item 3. Key Information— D. Risk Factors—Risks Related to Our Business and Industry—We may need to defend ourselves against patent, trademark or other intellectual property rights infringement claims, which may be time-consuming and would cause us to incur substantial costs.”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Domain Name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Internet domain name registration and related matters are primarily regulated by the Measures on Administration of Internet Domain Names promulgated by the MIIT on August 24, 2017 and effective on November 1, 2017, and the Implementing Rules of China ccTLD Registration issued by China Internet Network Information Center on June 18, 2019. Domain name registrations are handled through domain name service agencies established under the applicable regulations, and the applicants become domain name holders upon successful registration.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Employment</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Labor Law of the PRC, the Labor Contract Law of the PRC, or the Labor Contract Law, and the Implementing Regulations of the PRC Labor Contract Law, labor relationships between employers and employees must be executed in written form. Wages may not be lower than the local minimum wage. Employers must establish a system for labor safety and sanitation, strictly abide by state standards and provide relevant education to their employees. Employees are also required to be able to work in safe and sanitary conditions.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 to the Social Insurance Law of the PRC, promulgated by the SCNPC and effective from July 1, 2011 and amended on December 29, 2018, the Regulation of Insurance for Work-Related Injury, the Provisional Measures on Insurance for Maternity of Employees, the Regulation of Unemployment Insurance, and the Interim Regulation on the Collection and Payment of Social Insurance Premiums, an employer is required to contribute social insurance for its employees in mainland China, including basic pension insurance, basic medical insurance, unemployment insurance, maternity insurance and injury insurance. Under the Regulations on the Administration of Housing Funds, promulgated by the State Council on April 3, 1999 and amended on March 24, 2002 and March 24, 2019, an employer is required to make contributions to a housing fund for its employees. See “Item 3. Key Information—D. Risk Factors —Risks Related to Doing Business in China—Enforcement of stricter labor laws and regulations of mainland China may adversely affect our business and our profitability.”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Foreign Exchange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Currency Exchange</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SAFE promulgated the Circular on Issues Relating to the Administration of Foreign Exchange of Offshore Investment and Financing through Special Purpose Vehicles and Round-Tripping Investment by mainland China Resident, or SAFE Circular 37, on July 4, 2014, which replaced the former circular commonly known as “SAFE Circular 75.” SAFE Circular 37 requires mainland China residents to register with local branches of SAFE in connection with their direct establishment or indirect control of an offshore entity, for the purpose of offshore investment and financing, with such mainland China residents’ legally owned assets or equity interests in domestic enterprises or offshore assets or interests, referred to in SAFE Circular 37 as a “special purpose vehicle.” SAFE Circular 37 further requires amendment to the registration in the event of any significant changes with respect to the special purpose vehicle, such as increase or decrease of capital contributed by mainland China residents, share transfer or exchange, merger, division or other material event. In the event that a mainland China shareholder holding interests in a special purpose vehicle fails to fulfill the required SAFE registration, the mainland China subsidiaries of that special purpose vehicle may be prohibited from making profit distributions to the offshore parent and from carrying out subsequent cross-border foreign exchange activities, and the special purpose vehicle may be restricted in its ability to contribute additional capital into its mainland China subsidiaries. Furthermore, failure to comply with the various SAFE registration requirements described above could result in liability under the laws of mainland China for evasion of foreign exchange controls.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Stock Incentive Plans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February 2012, SAFE promulgated the Circular on Foreign Exchange Administration of PRC Residents Participating in Share Incentive Plans of Offshore Listed Companies, or the Stock Option Rules, replacing the previous rules issued by SAFE in March 2007. Under the Stock Option Rules and other rules and regulations, mainland China residents who participate in a stock incentive plan in an overseas publicly-listed company are required to register with SAFE or its local branches and complete certain other procedures. Participants of a stock incentive plan who are mainland China residents must retain a qualified mainland China agent, which could be a mainland China subsidiary of the overseas publicly-listed company or another qualified institution selected by the mainland China subsidiary, to conduct SAFE registration and other procedures with respect to the stock incentive plan on behalf of its participants. The participants must also retain an overseas entrusted institution to handle matters in connection with their exercise of stock options, the purchase and sale of corresponding stocks or interests and fund transfers. In addition, the mainland China agent is required to amend SAFE registration with respect to the stock incentive plan if there is any material change to the stock incentive plan, the mainland China agent or the overseas entrusted institution or other material changes. The mainland China agents must, on behalf of the mainland China residents who have the right to exercise the employee share options, apply to SAFE or its local branches for an annual quota for the payment of foreign currencies in connection with the mainland China residents’ exercise of the employee share options. The foreign exchange proceeds received by mainland China residents from the sale of shares under the stock incentive plans granted and dividends distributed by overseas listed companies must be remitted into the bank accounts in mainland China opened by mainland China agents before distribution to such mainland China residents. In addition, the Circular of the State Administration of Foreign Exchange on Issues concerning Foreign Exchange Administration over the Overseas Investment and Financing and Round-trip Investment by Domestic Residents via Special Purpose Vehicles promulgated on July 4, 2014 provides that mainland China residents who participate in a share incentive plan of an overseas unlisted special purpose company must register with SAFE or its local branches before exercising such rights.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Dividend Distribution</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principal regulations governing distribution of dividends of foreign-invested enterprises include the PRC Company Law, the Foreign Investment Law and the Implementation Rules of the Foreign Investment Law. Under these laws and regulations, foreign-invested enterprises in mainland China may pay dividends only out of their accumulated after-tax profits, if any, determined in accordance with PRC accounting standards and regulations. In addition, foreign-invested enterprises in mainland China are required to allocate 10% of their respective after-tax profits as the statutory common reserve when it distributes its after-tax profit for the current fiscal year, if any, to fund certain reserve funds until these reserves have reached 50% of the registered capital of the enterprises.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Taxation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Enterprise Income Tax</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Enterprise Income Tax Law of the PRC, which was promulgated on March 16, 2007, amended on February 24, 2017 and December 29, 2018, and its implementing rules, enterprises are classified as resident enterprises and non-resident enterprises. Mainland China resident enterprises typically pay enterprise income tax at the rate of 25%, while non-mainland China resident enterprises without any branches in mainland China pay an enterprise income tax in connection with their income from mainland China at the tax rate of 10%. An enterprise established outside of mainland China but with its “de facto management body” located within mainland China is considered a “resident enterprise,” which means that it is treated in a manner similar to a mainland China domestic enterprise for enterprise income tax purposes. The implementing rules of the Enterprise Income Tax Law define “de facto management body” as a managing body that in practice exercises “substantial and overall management and control over the production and operations, personnel, accounting and properties” of the enterprise.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Enterprise Income Tax Law and the implementation rules provide that an income tax rate of 10% will normally be applicable to dividends payable to investors that are “non-resident enterprises,” and gains derived by such investors, which (i) do not have an establishment or place of business in mainland China or (ii) have an establishment or place of business in mainland China, but the relevant income is not effectively connected with the establishment or place of business to the extent that such dividends and gains are derived from sources within mainland China. Such income tax on the dividends may be reduced pursuant to a tax treaty between mainland China and other jurisdictions. Pursuant to the Arrangement between the Mainland China and the Hong Kong Special Administrative Region for the Avoidance of Double Taxation and Tax Evasion on Income, and other applicable laws of mainland China, if a Hong Kong resident enterprise is determined by the competent PRC tax authority to have satisfied the conditions and requirements under such arrangement and other applicable laws, the 10% withholding tax on the dividends the Hong Kong resident enterprise receives from a mainland China resident enterprise may be reduced to 5% upon receiving approval from in-charge tax authority. However, based on the Circular on Certain Issues with Respect to the Enforcement of Dividend Provisions in Tax Treaties issued on February 20, 2009 by the State Administration of Taxation, if the PRC tax authorities determine, in their discretion, that a company benefits from such reduced income tax rate due to a structure or arrangement that is primarily tax-driven, such PRC tax authorities may adjust the preferential tax treatment. According to Announcement of the State Administration of Taxation on Issues Concerning the Recognition of Beneficial Owners in Entrusted Investments, effective on June 1, 2014, non-residents may be recognized as “beneficial owners” and enjoy the treaty benefits for the income derived from mainland China from certain investments. According to the Announcement of the State Administration of Taxation on Issues concerning the “Beneficial Owner” in Tax Treaties, which became effective in April 2018, a resident enterprise is determined as a “beneficial owner” that can apply for a low tax rate under tax treaties based on an overall assessment of several factors. Furthermore, the Administrative Measures for Non-Resident Taxpayers to Enjoy Treatments under Tax Treaties, which became effective on January 1, 2020, requires nonresident enterprises to determine whether they are qualified to enjoy the preferential tax treatment under the tax treaties and file certain report and materials with the tax authorities. We may be classified as mainland China resident tax payers. See “Item 3. Key Information— D. Risk Factors—Risks Related to Doing Business in China—If we are classified as a mainland China resident enterprise for mainland China income tax purposes, such classification could result in unfavorable tax consequences to us and our non-mainland China shareholders or ADS 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Value-Added Tax</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Pursuant to the Provisional Regulation of the PRC on Value-Added Tax issued by the State Council, effective on January 1, 1994, which was amended on November 10, 2008, February 6, 2016 and on November 19, 2017, or the Provisional Regulation, and its Implementing Rules, all entities and individuals that are engaged in the sale of goods, the provision of processing, repairs and installation services and the importation of goods in mainland China are required to pay a valued-added tax, or VAT. According to the Provisional Regulation, gross proceeds from sales and importation of goods and provision of services are generally subject to a VAT rate of 17% with exceptions for certain categories of goods that are taxed at a VAT rate of 11%. On April 4, 2018, the Circular of the Ministry of Finance and the State Administration of Taxation on Adjusting Value-Added Tax Rates was promulgated, which provides that effective from the date of May 1, 2018, gross proceeds from sales and importation of goods and provision of services are generally subject to a VAT rate of 16%, with exceptions for certain categories of goods that are taxed at a VAT rate of 10%. On March 20, 2019, the Announcement on Relevant Policies for Deepening Value-Added Tax Reform was jointly promulgated the Ministry of Finance, the State Administration of Taxation and the General Administration of Customs, which further provides that effective from April 1, 2019, the VAT rate of gross proceeds from sales and importation of goods and provision of services shall be adjusted from 16% to 13%, with the VAT rate of certain categories of goods shall be adjusted from 10% to 9%. In addition, under the Provisional Regulation, the input VAT for the purchase of fixed assets is deductible from the output VAT, except for goods or services that are used in non-VAT taxable items, VAT exempted items and welfare activities, or for personal consumption. On September 3, 2023 the Ministry of Finance and the State Administration of Taxation promulgated the Circular of Additional Value-Added Tax Credit Policy for Advanced Manufacturing Enterprises, which provides that an advanced manufacturing enterprise may credit the amount of input tax creditable in the current period, plus 5% of that amount, against the amount of tax payable. On December 25, 2024, the SCNPC promulgated the Value-Added Tax Law of the People’s Republic of China which became effective on January 1, 2026 and the Provisional Regulations was abolished. On December 25, 2025, the State Council promulgated Implementation Regulations of the Value-Added Tax Law of the People’s Republic of China, which also became effective on January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our principal subsidiaries, the VIE and its principal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88265</wp:posOffset>
            </wp:positionV>
            <wp:extent cx="5786120" cy="62236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86120" cy="6223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right="20" w:hanging="332"/>
        <w:spacing w:after="0" w:line="261" w:lineRule="auto"/>
        <w:tabs>
          <w:tab w:leader="none" w:pos="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Token Yilin Hu, Changlong Sheng and Yi’nan Li each holds 89.74%, 5.26% and 5.00% of the equity interest in Beijing Niudian, respectively. All of the shareholders of Beijing Niudian are beneficial owners of the shares of our company.</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the VIE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currently effective contractual arrangements relating to Beijing Niudian.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allow us to conduct the business operations of the VIE</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Powers of Attorney. </w:t>
      </w:r>
      <w:r>
        <w:rPr>
          <w:rFonts w:ascii="Times New Roman" w:cs="Times New Roman" w:eastAsia="Times New Roman" w:hAnsi="Times New Roman"/>
          <w:sz w:val="18"/>
          <w:szCs w:val="18"/>
          <w:color w:val="auto"/>
        </w:rPr>
        <w:t>Each of the shareholders of Beijing Niudian has executed a power of attorney to irrevocably authorize our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act as his or her attorney-in-fact to exercise all of his or her rights as a shareholder of Beijing Niudian, including, but not limited to, the right to convene and attend shareholders’ meetings, vote on any resolution that requires a shareholder vote, such as the appointment and removal of directors, supervisors and officers, as well as the sale, transfer and disposal of all or part of the equity interests owned by such shareholder. The powers of attorney will remain effective, as long as the shareholders of Beijing Niudian remain as registered shareholders of Beijing Niudian, unless otherwise instructed by our company.</w:t>
      </w:r>
    </w:p>
    <w:p>
      <w:pPr>
        <w:spacing w:after="0" w:line="1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Third Amended and Restated Equity Pledge Agreement. </w:t>
      </w:r>
      <w:r>
        <w:rPr>
          <w:rFonts w:ascii="Times New Roman" w:cs="Times New Roman" w:eastAsia="Times New Roman" w:hAnsi="Times New Roman"/>
          <w:sz w:val="18"/>
          <w:szCs w:val="18"/>
          <w:color w:val="auto"/>
        </w:rPr>
        <w:t>Pursuant to the third amended and restated equity pledge agreement, 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14, 2024, among our WFOE, Beijing Niudian and each of the shareholders of Beijing Niudian, the shareholders of Beijing Niudian have pledged the 100% equity interests in Beijing Niudian to our WFOE to guarantee performance by the shareholders of their obligations under the third amended and restated exclusive option agreement and powers of attorney, as well as the performance by Beijing Niudian of its obligations under the amended and restated exclusive business cooperation agreement and the third amended and restated exclusive option agreement. In the event of a breach by Beijing Niudian or any of its shareholders of contractual obligations under the third amended and restated equity pledge agreement, our WFOE, as pledgee, will have the right to dispose of the pledged equity interests in Beijing Niudian and will have priority in receiving the proceeds from such disposal. The shareholders of Beijing Niudian also undertake that, without the prior written consent of our WFOE, they will not dispose of, create or allow any encumbrance on the pledged equity interests. Beijing Niudian undertakes that, without the prior written consent of our WFOE, it will not assist or allow any encumbrance to be created on the pledged equity interests. In November 2024, we completed the registration of the equity pledge under the third amended and restated equity pledge agreement with the local office of the State Administration of Market Regulation in accordance with the PRC Civil Code.</w:t>
      </w:r>
    </w:p>
    <w:p>
      <w:pPr>
        <w:spacing w:after="0" w:line="1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Spousal Consent Letters. </w:t>
      </w:r>
      <w:r>
        <w:rPr>
          <w:rFonts w:ascii="Times New Roman" w:cs="Times New Roman" w:eastAsia="Times New Roman" w:hAnsi="Times New Roman"/>
          <w:sz w:val="18"/>
          <w:szCs w:val="18"/>
          <w:color w:val="auto"/>
        </w:rPr>
        <w:t>The spouses of the shareholders of Beijing Niudian have each signed a spousal consent letter agreeing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interests in Beijing Niudian held by and registered under the name of the respective shareholders will be disposed of pursuant to the VIE Agreements. These spouses agreed not to assert any rights over the equity interest in Beijing Niudian held by their spouses.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allow us to receive economic benefits from the VIE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Amended and Restated Exclusive Business Cooperation Agreements. </w:t>
      </w:r>
      <w:r>
        <w:rPr>
          <w:rFonts w:ascii="Times New Roman" w:cs="Times New Roman" w:eastAsia="Times New Roman" w:hAnsi="Times New Roman"/>
          <w:sz w:val="18"/>
          <w:szCs w:val="18"/>
          <w:color w:val="auto"/>
        </w:rPr>
        <w:t>Pursuant to the amended and restated exclusive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cooperation agreement, dated July 20, 2018, between our WFOE and Beijing Niudian, our WFOE has the exclusive right to provide Beijing Niudian with operational supports as well as consulting and technical services required by Beijing Niudian’s business. Without our WFOE’s prior written consent, Beijing Niudian may not accept any services subject to this agreement from any third party. Beijing Niudian agrees to pay our WFOE a monthly service fee at an amount that is equal to 100% of its net profits or an amount adjusted by our WFOE in its sole discretion for the relevant month, which should be paid within seven business days upon receipt of invoice from our WFOE. Our WFOE has the exclusive ownership of all the intellectual property rights created as a result of the performance of the amended and restated exclusive business cooperation agreement to the extent permitted by applicable laws of mainland China. To guarantee Beijing Niudian’s performance of its obligations thereunder, the shareholders of Beijing Niudian shall pledge all of their equity interests in Beijing Niudian to our WFOE pursuant to the third amended and restated equity pledge agreement. The amended and restated exclusive business cooperation agreement will remain effective for a term equal to Beijing Niudian’s operating period, unless otherwise terminated by our WFOE in writing or in accordance with applicable laws of mainland China.</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2018, our WFOE and Jiangsu Xiaoniu entered into the amended and restated exclusive business cooperation agreement, which contains terms substantially similar to the amended and restated exclusive business cooperation agreement between our WFOE and Beijing Niudian described above.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provide us with the option to purchase the equity interests in and assets of the VIE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Third Amended and Restated Exclusive Option Agreements. </w:t>
      </w:r>
      <w:r>
        <w:rPr>
          <w:rFonts w:ascii="Times New Roman" w:cs="Times New Roman" w:eastAsia="Times New Roman" w:hAnsi="Times New Roman"/>
          <w:sz w:val="18"/>
          <w:szCs w:val="18"/>
          <w:color w:val="auto"/>
        </w:rPr>
        <w:t>Pursuant to the third amended and restated exclusive option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dated November 14, 2024, among our company, our WFOE, Beijing Niudian and each of the shareholders of Beijing Niudian has irrevocably granted our company an exclusive option to purchase all or part of his or her equity interests in Beijing Niudian. Our company or our designated person may exercise such options at the price of RMB100 or the lowest price permitted under applicable laws of mainland China. The shareholders of Beijing Niudian undertake that, without our company’s prior written consent, they will not, among other things, (i) create any pledge or encumbrance on their equity interests in Beijing Niudian, (ii) transfer or otherwise dispose of their equity interests in Beijing Niudian, (iii) change Beijing Niudian’s registered capital, (iv) amend Beijing Niudian’s articles of association, (v) dispose of Beijing Niudian’s material assets or enter into any material contract with a value of over RMB100,000 (except in the ordinary course of business), or (vi) merge Beijing Niudian with any other entity. In addition, Beijing Niudian undertakes that, without our company’s prior written consent, it will not, among other things, create any pledge or encumbrance on any of its assets, or transfer or otherwise dispose of its material assets (except in the ordinary course of business). The third amended and restated exclusive option agreement will remain effective until all equity interests in and all the assets of Beijing Niudian have been transferred to our company or our designated person.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opinion of DaHui Lawyers, our PRC legal counsel:</w:t>
      </w:r>
    </w:p>
    <w:p>
      <w:pPr>
        <w:spacing w:after="0" w:line="198" w:lineRule="exact"/>
        <w:rPr>
          <w:sz w:val="20"/>
          <w:szCs w:val="20"/>
          <w:color w:val="auto"/>
        </w:rPr>
      </w:pPr>
    </w:p>
    <w:p>
      <w:pPr>
        <w:ind w:left="680" w:hanging="321"/>
        <w:spacing w:after="0" w:line="282"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structures of the VIE in mainland China and our WFOE, are not in violation of applicable laws and regulations of mainland China currently in effect; and</w:t>
      </w:r>
    </w:p>
    <w:p>
      <w:pPr>
        <w:spacing w:after="0" w:line="12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arrangements between our company, our WFOE, the VIE and its shareholders governed by the laws of mainland China are valid, binding and enforceable, and will not result in any violation of applicable laws and regulations of mainland China currently in effect.</w:t>
      </w:r>
    </w:p>
    <w:p>
      <w:pPr>
        <w:spacing w:after="0" w:line="1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However, our PRC legal counsel has also advised us that there are uncertainties regarding the interpretation and application of current and future laws, regulations and rules of mainland China. Accordingly, the PRC regulatory authorities may take a view that is contrary to the opinion of our PRC legal counsel. It is uncertain whether any new laws or regulations of mainland China relating to variable interest entity structures will be adopted or if adopted, what they would provide. If we or any of the VIE are found to be in violation of any existing or future laws or regulations of mainland China, or fail to obtain or maintain any of the required permits or approvals, the PRC regulatory authorities would have broad discretion to take action in dealing with such violations or failures. We have been further advised by our PRC legal counsel that if the PRC government finds that the agreements in connection with the VIE structure do not comply with the laws of mainland China, we could be subject to severe penalties, including being prohibited from continuing operations. See “Item 3. Key Information—D. Risk Factors—Risks Related to Our Corporate Structure—If the PRC government funds that the agreements that establish the structure for operating some of our operations in mainland China do not comply with the regulations of mainland China relating to the relevant industries, or if these regulations or the interpretation of existing regulations change or are interpreted differently in the future, we could be subject to severe penalties or be forced to relinquish our interests in those operations” and “Item 3. Key Information—D. Risk Factors—Risks Related to Doing Business in China—Uncertainties in the interpretation and enforcement of the laws and regulations of mainland China could limit the legal protections available to you and us.”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Property, Plants and Equipment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headquarters is located in Beijing, China, where we lease and occupy our office space to support corporate management functions. We also lease offices in Shanghai, home of our Niu Innovation Lab, which is dedicated to technological innovation. Our manufacturing facility and after-sales service facilities are located in Changzhou, China, where we own and lease facilities.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major location, approximate size and primary use of facilities that we own or we lease, as of the date of this annual report: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Our Own Facility</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51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2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Approximate Size</w:t>
            </w:r>
          </w:p>
        </w:tc>
        <w:tc>
          <w:tcPr>
            <w:tcW w:w="3260" w:type="dxa"/>
            <w:vAlign w:val="bottom"/>
            <w:tcBorders>
              <w:top w:val="single" w:sz="8" w:color="auto"/>
            </w:tcBorders>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9"/>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(Building) in</w:t>
            </w:r>
          </w:p>
        </w:tc>
        <w:tc>
          <w:tcPr>
            <w:tcW w:w="240" w:type="dxa"/>
            <w:vAlign w:val="bottom"/>
          </w:tcPr>
          <w:p>
            <w:pPr>
              <w:spacing w:after="0"/>
              <w:rPr>
                <w:sz w:val="12"/>
                <w:szCs w:val="12"/>
                <w:color w:val="auto"/>
              </w:rPr>
            </w:pPr>
          </w:p>
        </w:tc>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 Use</w:t>
            </w:r>
          </w:p>
        </w:tc>
        <w:tc>
          <w:tcPr>
            <w:tcW w:w="0" w:type="dxa"/>
            <w:vAlign w:val="bottom"/>
          </w:tcPr>
          <w:p>
            <w:pPr>
              <w:spacing w:after="0"/>
              <w:rPr>
                <w:sz w:val="1"/>
                <w:szCs w:val="1"/>
                <w:color w:val="auto"/>
              </w:rPr>
            </w:pPr>
          </w:p>
        </w:tc>
      </w:tr>
      <w:tr>
        <w:trPr>
          <w:trHeight w:val="173"/>
        </w:trPr>
        <w:tc>
          <w:tcPr>
            <w:tcW w:w="5400" w:type="dxa"/>
            <w:vAlign w:val="bottom"/>
            <w:gridSpan w:val="2"/>
            <w:vMerge w:val="continue"/>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Square Meters</w:t>
            </w:r>
          </w:p>
        </w:tc>
        <w:tc>
          <w:tcPr>
            <w:tcW w:w="240" w:type="dxa"/>
            <w:vAlign w:val="bottom"/>
          </w:tcPr>
          <w:p>
            <w:pPr>
              <w:spacing w:after="0"/>
              <w:rPr>
                <w:sz w:val="15"/>
                <w:szCs w:val="15"/>
                <w:color w:val="auto"/>
              </w:rPr>
            </w:pPr>
          </w:p>
        </w:tc>
        <w:tc>
          <w:tcPr>
            <w:tcW w:w="3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Changzhou</w:t>
            </w: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111,500</w:t>
            </w:r>
          </w:p>
        </w:tc>
        <w:tc>
          <w:tcPr>
            <w:tcW w:w="24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Manufacturing and Maintenance Facility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Approximate Size</w:t>
            </w: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9"/>
        </w:trPr>
        <w:tc>
          <w:tcPr>
            <w:tcW w:w="3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60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(Building) in</w:t>
            </w:r>
          </w:p>
        </w:tc>
        <w:tc>
          <w:tcPr>
            <w:tcW w:w="140" w:type="dxa"/>
            <w:vAlign w:val="bottom"/>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Primary Use</w:t>
            </w:r>
          </w:p>
        </w:tc>
        <w:tc>
          <w:tcPr>
            <w:tcW w:w="160" w:type="dxa"/>
            <w:vAlign w:val="bottom"/>
          </w:tcPr>
          <w:p>
            <w:pPr>
              <w:spacing w:after="0"/>
              <w:rPr>
                <w:sz w:val="12"/>
                <w:szCs w:val="12"/>
                <w:color w:val="auto"/>
              </w:rPr>
            </w:pPr>
          </w:p>
        </w:tc>
        <w:tc>
          <w:tcPr>
            <w:tcW w:w="2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Lease Expiration Date</w:t>
            </w:r>
          </w:p>
        </w:tc>
        <w:tc>
          <w:tcPr>
            <w:tcW w:w="0" w:type="dxa"/>
            <w:vAlign w:val="bottom"/>
          </w:tcPr>
          <w:p>
            <w:pPr>
              <w:spacing w:after="0"/>
              <w:rPr>
                <w:sz w:val="1"/>
                <w:szCs w:val="1"/>
                <w:color w:val="auto"/>
              </w:rPr>
            </w:pPr>
          </w:p>
        </w:tc>
      </w:tr>
      <w:tr>
        <w:trPr>
          <w:trHeight w:val="173"/>
        </w:trPr>
        <w:tc>
          <w:tcPr>
            <w:tcW w:w="3700" w:type="dxa"/>
            <w:vAlign w:val="bottom"/>
            <w:gridSpan w:val="3"/>
            <w:vMerge w:val="continue"/>
          </w:tcPr>
          <w:p>
            <w:pPr>
              <w:spacing w:after="0"/>
              <w:rPr>
                <w:sz w:val="15"/>
                <w:szCs w:val="15"/>
                <w:color w:val="auto"/>
              </w:rPr>
            </w:pPr>
          </w:p>
        </w:tc>
        <w:tc>
          <w:tcPr>
            <w:tcW w:w="16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Square Meters</w:t>
            </w:r>
          </w:p>
        </w:tc>
        <w:tc>
          <w:tcPr>
            <w:tcW w:w="14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3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Manufacturing and</w:t>
            </w:r>
          </w:p>
        </w:tc>
        <w:tc>
          <w:tcPr>
            <w:tcW w:w="160" w:type="dxa"/>
            <w:vAlign w:val="bottom"/>
            <w:tcBorders>
              <w:top w:val="single" w:sz="8" w:color="CCEEFF"/>
            </w:tcBorders>
            <w:shd w:val="clear" w:color="auto" w:fill="CCEEFF"/>
          </w:tcPr>
          <w:p>
            <w:pPr>
              <w:spacing w:after="0"/>
              <w:rPr>
                <w:sz w:val="16"/>
                <w:szCs w:val="16"/>
                <w:color w:val="auto"/>
              </w:rPr>
            </w:pPr>
          </w:p>
        </w:tc>
        <w:tc>
          <w:tcPr>
            <w:tcW w:w="25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Changzhou</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40" w:type="dxa"/>
            <w:vAlign w:val="bottom"/>
            <w:shd w:val="clear" w:color="auto" w:fill="CCEEFF"/>
          </w:tcPr>
          <w:p>
            <w:pPr>
              <w:spacing w:after="0"/>
              <w:rPr>
                <w:sz w:val="20"/>
                <w:szCs w:val="20"/>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After-sales Facility</w:t>
            </w:r>
          </w:p>
        </w:tc>
        <w:tc>
          <w:tcPr>
            <w:tcW w:w="160" w:type="dxa"/>
            <w:vAlign w:val="bottom"/>
            <w:shd w:val="clear" w:color="auto" w:fill="CCEEFF"/>
          </w:tcPr>
          <w:p>
            <w:pPr>
              <w:spacing w:after="0"/>
              <w:rPr>
                <w:sz w:val="20"/>
                <w:szCs w:val="20"/>
                <w:color w:val="auto"/>
              </w:rPr>
            </w:pP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31, 2027/June 30, 2028</w:t>
            </w: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Beijing</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w:t>
            </w:r>
          </w:p>
        </w:tc>
        <w:tc>
          <w:tcPr>
            <w:tcW w:w="16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31, 2028</w:t>
            </w: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Office</w:t>
            </w:r>
          </w:p>
        </w:tc>
        <w:tc>
          <w:tcPr>
            <w:tcW w:w="160" w:type="dxa"/>
            <w:vAlign w:val="bottom"/>
            <w:shd w:val="clear" w:color="auto" w:fill="CCEEFF"/>
          </w:tcPr>
          <w:p>
            <w:pPr>
              <w:spacing w:after="0"/>
              <w:rPr>
                <w:sz w:val="18"/>
                <w:szCs w:val="18"/>
                <w:color w:val="auto"/>
              </w:rPr>
            </w:pP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25, 2026/December 31, 2027</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4A.Unresolved Staff Comments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of our financial condition and results of operations is based upon, and should be read in conjunction with, our audited consolidated financial statements and the related notes included in this annual report on Form 20-F. This report contains forward-looking statements. See “Forward-Looking Information.” In evaluating our business, you should carefully consider the information provided under the caption “Item 3. Key Information— D. Risk Factors” in this annual report on Form 20-F. We caution you that our businesses and financial performance are subject to substantial risks and uncertainties.</w:t>
      </w:r>
    </w:p>
    <w:p>
      <w:pPr>
        <w:spacing w:after="0" w:line="179" w:lineRule="exact"/>
        <w:rPr>
          <w:sz w:val="20"/>
          <w:szCs w:val="20"/>
          <w:color w:val="auto"/>
        </w:rPr>
      </w:pPr>
    </w:p>
    <w:p>
      <w:pPr>
        <w:ind w:right="8200" w:firstLine="8"/>
        <w:spacing w:after="0" w:line="464" w:lineRule="auto"/>
        <w:tabs>
          <w:tab w:leader="none" w:pos="324"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Results Overview</w:t>
      </w: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design, manufacture and sell high-performance electric motorcycles, mopeds, bicycles, as well as kick-scooters and e-bikes. We have a diversified product portfolio that caters to the various demands of our users and addresses different urban travel scenarios. We have adopted an omnichannel retail model, integrating offline and online channels, to sell our products and provide services. We sold 1,192,039 units in 2025, including 1,112,021 units sold in the China market and 80,018 units sold in international markets. We sell and service our products through (i) our “city partner” system in China, which consisted of 623 city partners with 4,540 franchised stores in 320 cities in China as of December 31, 2025, (ii) our business partners in more than 40 countries overseas, including distributors, dealers and retailers, and (iii) our own online store and third-party e-commerce platforms. We also offer the NIU app as an integral part of the user experience.</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generate a majority of our revenues from sales of e-scooters to our distributors and business partners offline or to individual consumers online. We also generate revenues by selling accessories and spare parts and providing mobile app and other services.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results of operations and financial condition are affected by the general factors driving China’s electric two-wheeled vehicles industry, including, among others, China’s overall economic growth, the increase in per capita disposable income, the expansion of urbanization, the growth in consumer spending and consumption upgrades, the competitive environment, and governmental policies and initiatives towards electric two-wheeled vehicles, as well as the general factors affecting the electric two-wheeled vehicles industry in international markets. Unfavorable changes in any of these general industry conditions could negatively affect demand for our products and materially and adversely affect our results of operations.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2025, we experienced challenges stemming from intensified domestic and international competition, as well as a shift towards more value-conscious consumer behavior. Importantly, the full implementation of the New Electric Bicycle Standard (GB17761-2024) was a key regulatory development, increasing industry-wide compliance costs and accelerating market consolidation. These factors collectively influenced demand for our products and had significant implications on our operational outcomes.</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While our business is influenced by these general factors, our results of operations are more directly affected by company specific factors, including the following major factors:</w:t>
      </w:r>
    </w:p>
    <w:p>
      <w:pPr>
        <w:spacing w:after="0" w:line="121" w:lineRule="exact"/>
        <w:rPr>
          <w:sz w:val="20"/>
          <w:szCs w:val="20"/>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e-scooter sales volume;</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sell more accessories and spare parts and services;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supply chain and manufacturing;</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enhance our operational efficiency;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into international markets.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increase e-scooter sales volume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results of operations depend significantly on our ability to increase sales volume of our e-scooters. Revenues generated from e-scooters represented 88.9%, 90.0% and 90.5% of our net revenues in 2023, 2024 and 2025, respectively. We sold 709,802, 924,340 and 1,192,039 units of e-scooters in 2023, 2024 and 2025, respectively. We experienced external challenges from the lingering effects of lithium battery price hikes in 2022, the consumption downgrade and intense competition in our addressable markets, posing significant headwinds. Despite these pressures, we have been committed to the strategy of focusing on premium and mass-premium products in 2023. This strategy, alongside the launch of several new products, enabled us to return to a growth trajectory in 2024. Although the industry-wide adjustments required by the New Electric Bicycle Standard posed significant headwinds, we maintained sales growth through the continuous introduction of innovative products in 2025. While we still face uncertainties and pressures, we expect that our domestic sales will further expand in 2026, driven by the continual introduction of innovative new products. The following table shows the number of e-scooters we sold in the years presented:</w:t>
      </w:r>
    </w:p>
    <w:p>
      <w:pPr>
        <w:spacing w:after="0" w:line="1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6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660" w:type="dxa"/>
            <w:vAlign w:val="bottom"/>
            <w:tcBorders>
              <w:top w:val="single" w:sz="8" w:color="auto"/>
              <w:bottom w:val="single" w:sz="8" w:color="auto"/>
            </w:tcBorders>
          </w:tcPr>
          <w:p>
            <w:pPr>
              <w:spacing w:after="0"/>
              <w:rPr>
                <w:sz w:val="12"/>
                <w:szCs w:val="12"/>
                <w:color w:val="auto"/>
              </w:rPr>
            </w:pPr>
          </w:p>
        </w:tc>
      </w:tr>
      <w:tr>
        <w:trPr>
          <w:trHeight w:val="142"/>
        </w:trPr>
        <w:tc>
          <w:tcPr>
            <w:tcW w:w="2480" w:type="dxa"/>
            <w:vAlign w:val="bottom"/>
          </w:tcPr>
          <w:p>
            <w:pPr>
              <w:spacing w:after="0"/>
              <w:rPr>
                <w:sz w:val="12"/>
                <w:szCs w:val="12"/>
                <w:color w:val="auto"/>
              </w:rPr>
            </w:pPr>
          </w:p>
        </w:tc>
        <w:tc>
          <w:tcPr>
            <w:tcW w:w="1560" w:type="dxa"/>
            <w:vAlign w:val="bottom"/>
            <w:gridSpan w:val="2"/>
          </w:tcPr>
          <w:p>
            <w:pPr>
              <w:ind w:left="13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Pr>
          <w:p>
            <w:pPr>
              <w:spacing w:after="0"/>
              <w:rPr>
                <w:sz w:val="12"/>
                <w:szCs w:val="12"/>
                <w:color w:val="auto"/>
              </w:rPr>
            </w:pPr>
          </w:p>
        </w:tc>
        <w:tc>
          <w:tcPr>
            <w:tcW w:w="3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3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Pr>
          <w:p>
            <w:pPr>
              <w:spacing w:after="0"/>
              <w:rPr>
                <w:sz w:val="12"/>
                <w:szCs w:val="12"/>
                <w:color w:val="auto"/>
              </w:rPr>
            </w:pPr>
          </w:p>
        </w:tc>
        <w:tc>
          <w:tcPr>
            <w:tcW w:w="3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209"/>
        </w:trPr>
        <w:tc>
          <w:tcPr>
            <w:tcW w:w="394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NQi Series</w:t>
            </w:r>
            <w:r>
              <w:rPr>
                <w:rFonts w:ascii="Times New Roman" w:cs="Times New Roman" w:eastAsia="Times New Roman" w:hAnsi="Times New Roman"/>
                <w:sz w:val="24"/>
                <w:szCs w:val="24"/>
                <w:color w:val="auto"/>
                <w:vertAlign w:val="superscript"/>
              </w:rPr>
              <w:t>(1)</w:t>
            </w: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40,099</w:t>
            </w: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302,706</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493,884</w:t>
            </w: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16"/>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MQi Series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98,726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60,117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272,185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FQi Series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209,554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180,855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233,271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UQi Series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80,248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119,856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105,552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KQi Series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100,508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161,522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GQi Series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134,671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69,425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8,554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40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Others</w:t>
            </w:r>
            <w:r>
              <w:rPr>
                <w:rFonts w:ascii="Times New Roman" w:cs="Times New Roman" w:eastAsia="Times New Roman" w:hAnsi="Times New Roman"/>
                <w:sz w:val="25"/>
                <w:szCs w:val="25"/>
                <w:color w:val="auto"/>
                <w:vertAlign w:val="superscript"/>
              </w:rPr>
              <w:t>(2)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0"/>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709,802</w:t>
            </w:r>
          </w:p>
        </w:tc>
        <w:tc>
          <w:tcPr>
            <w:tcW w:w="6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924,340</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1,192,039</w:t>
            </w:r>
          </w:p>
        </w:tc>
        <w:tc>
          <w:tcPr>
            <w:tcW w:w="6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2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112" w:lineRule="exact"/>
        <w:rPr>
          <w:sz w:val="20"/>
          <w:szCs w:val="20"/>
          <w:color w:val="auto"/>
        </w:rPr>
      </w:pPr>
    </w:p>
    <w:p>
      <w:pPr>
        <w:ind w:left="180" w:hanging="172"/>
        <w:spacing w:after="0"/>
        <w:tabs>
          <w:tab w:leader="none" w:pos="180"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Number of e-scooters sold including SQi, RQi and XQi series.</w:t>
      </w:r>
    </w:p>
    <w:p>
      <w:pPr>
        <w:spacing w:after="0" w:line="91" w:lineRule="exact"/>
        <w:rPr>
          <w:rFonts w:ascii="Times New Roman" w:cs="Times New Roman" w:eastAsia="Times New Roman" w:hAnsi="Times New Roman"/>
          <w:sz w:val="22"/>
          <w:szCs w:val="22"/>
          <w:color w:val="auto"/>
          <w:vertAlign w:val="superscript"/>
        </w:rPr>
      </w:pPr>
    </w:p>
    <w:p>
      <w:pPr>
        <w:ind w:left="180" w:hanging="172"/>
        <w:spacing w:after="0" w:line="220" w:lineRule="auto"/>
        <w:tabs>
          <w:tab w:leader="none" w:pos="180"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Others include BQi, CQi, OQi series and power-assist e-bike.</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increase e-scooters sales volume depends on our ability to innovate in design and technology and offer e-scooter products that meet our users’ demand. We have a diversified product portfolio that caters to the various demands of our users and addresses different urban travel scenarios. Currently, we offer two model lineups, comprising a number of different vehicle types. These include (i) the electric motorcycle, moped and bicycle series, including the NQi, MQi, UQi, FQi series and others, and (ii) the micro-mobility series, including the kick-scooter series KQi and the e-bike series BQi. We will continue to expand our product offerings by growing the classic series and introducing new models, aiming to cover the full spectrum of the urban mobility solutions. Moreover, our ability to increase the sales volume also depends on our ability to continually enhance our brand to attract users and purchases, as well as our ability to successfully execute our omnichannel retail model and expand our sales network both domestically and globally.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develop and sell more accessories and spare parts and services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results of operations are affected by our ability to develop and sell more accessories and spare parts, which generally have higher gross margins. Revenues generated from selling accessories and spare parts represented 7.5%, 7.4% and 6.9% of our net revenues in 2023, 2024 and 2025, respectively. Our results of operations are also affected by our ability to sell more services. We generate revenue from the NIU app by providing subscription-based mobile app services. Users will need to subscribe for the mobile app service by paying a fee after an initial period of one year. Revenues generated from providing services represented 3.6%, 2.6% and 2.6% of our revenues in 2023, 2024 and 2025, respectively. We will continue to further enhance the connectivity and other smart functionalities of our e-scooters and the NIU app, and improve the user experience. This not only provides us with additional revenue streams but also improves our gross margin.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manage our supply chain and manufacturing</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Material and manufacturing costs of our e-scooters have historically accounted for a majority of our cost of revenues. Our future profitability is significantly dependent on our ability to control those costs as a percentage of our revenues, which in turn depends on our ability to effectively manage our supply chain and manufacturing process. Raw materials and components used in the production of our e-scooters are sourced from domestic suppliers as well as international suppliers, and their prices are dependent on various factors in addition to supply and demand. We generally engage multiple suppliers for the key components to minimize the dependency on any single supplier. We will continue to collaborate with our suppliers to manage the cost, capacity and quality of the raw materials and components. As our business grows in scale, we have obtained more bargaining power and hence more favorable terms from suppliers, including pricing terms. Our gross margin decreased from 21.5% in 2023 to 15.2% in 2024 due to general economic conditions and intense market competition, but increased to 19.6% in 2025 due to our enhanced product portfolios and cost-reduction initiatives. Our ability to control cost of products sold also depends on our successful adoption of automatic and intelligent manufacturing equipment and procedures, and effective utilization of our platform-based engineering system, through which designs of new models may be easily adaptable to our existing production lines.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enhance our operational efficiency</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achieve profitability is dependent on our ability to improve our operational efficiency and reduce the total operating expenses as a percentage of our revenues. Excluding share-based compensation expense, selling and marketing expenses have historically represented the largest portion of our total operating expenses. Advertising and promotion expenses, consisting primarily of online and offline advertisements, are event-driven, and tend to be higher when we launch new products. Our selling and marketing expenses as a percentage of our revenues were 18.7%, 14.9% and 15.7% in 2023, 2024 and 2025, respectively. The increase of our selling and marketing expenses as a percentage of our revenues in 2025 was mainly resulted from increased advertising and promotion activities, especially in the domestic market.</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lower our selling and marketing expenses as a percentage of revenues depends on our ability to manage our branding and promotion efforts, and improve selling and marketing efficiency. We have adopted an omnichannel retail model, integrating offline and online channels, to sell our products and provide services. As of December 31, 2025, our offline channels consisted of 623 city partners with 4,540 franchised stores in 320 cities in China, as well as business partners in more than 40 countries overseas, including distributors, dealers and retailers. These distributors and business partners promote our brand and market our products and services at their own cost. We aim to invest more in local branding and marketing, strengthen connections with our customers, and enhance our adaptability to local market changes. Through our distribution networks, we will continue to expand and leverage our sales network to enhance our brand and improve sales efficiency. In addition, as our business grows, we expect to achieve greater operating leverage, increase the productivity of our personnel, and obtain more favorable terms from our suppliers.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expand to international markets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we sold our smart e-scooters through business partners in more than 40 countries overseas, including distributors, dealers and retailers. In 2023, 2024 and 2025, 15.2%, 13.5% and 7.1% of our revenues were derived from sales in international markets, respectively. We believe that our well-recognized NIU brand, together with our innovative design and expansion of product offerings, position us favorably to capture the growth potential in the global market, and we may enter into selected international markets that offer identified growth opportunities and favorable government policies. In Europe, the U.S. and Southeast Asia, we will continue to expand our sales network, launch new products suitable for local markets, partner with global leading companies to co-brand premium smart e-scooter models, and are exploring additional business opportunities to drive the growth beyond retail. We will pursue differentiated strategies for different overseas markets. We expect that our expansion into selected international markets will not only drive our revenue growth but also enhance our brand awareness.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generate revenues from sales of e-scooters, sales of accessories and spare parts, and provision of mobile app and other services. The following table sets forth the break-down of our revenues, in amounts and as percentages of revenues for the years presented: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6"/>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142"/>
        </w:trPr>
        <w:tc>
          <w:tcPr>
            <w:tcW w:w="3580" w:type="dxa"/>
            <w:vAlign w:val="bottom"/>
          </w:tcPr>
          <w:p>
            <w:pPr>
              <w:spacing w:after="0"/>
              <w:rPr>
                <w:sz w:val="12"/>
                <w:szCs w:val="12"/>
                <w:color w:val="auto"/>
              </w:rPr>
            </w:pPr>
          </w:p>
        </w:tc>
        <w:tc>
          <w:tcPr>
            <w:tcW w:w="108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r>
      <w:tr>
        <w:trPr>
          <w:trHeight w:val="142"/>
        </w:trPr>
        <w:tc>
          <w:tcPr>
            <w:tcW w:w="3580" w:type="dxa"/>
            <w:vAlign w:val="bottom"/>
          </w:tcPr>
          <w:p>
            <w:pPr>
              <w:ind w:left="34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3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3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90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   US$</w:t>
            </w:r>
          </w:p>
        </w:tc>
        <w:tc>
          <w:tcPr>
            <w:tcW w:w="3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58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28"/>
        </w:trPr>
        <w:tc>
          <w:tcPr>
            <w:tcW w:w="3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00" w:type="dxa"/>
            <w:vAlign w:val="bottom"/>
            <w:gridSpan w:val="6"/>
          </w:tcPr>
          <w:p>
            <w:pPr>
              <w:jc w:val="right"/>
              <w:ind w:right="11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percentage data)</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216"/>
        </w:trPr>
        <w:tc>
          <w:tcPr>
            <w:tcW w:w="3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E-scooter sales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2,358,659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2,960,508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3,896,480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557,189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216"/>
        </w:trPr>
        <w:tc>
          <w:tcPr>
            <w:tcW w:w="3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Accessories and spare parts sales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197,634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241,680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299,172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86,108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112,213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16,046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9"/>
        </w:trPr>
        <w:tc>
          <w:tcPr>
            <w:tcW w:w="35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2,651,758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3,288,296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4,307,865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616,017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3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revenues upon the satisfaction of our performance obligation (upon transfer of control of promised goods or services to customers) in an amount that reflects the consideration to which we expect to be entitled to in exchange for those goods or services, excluding amounts collected on behalf of third parties (for example, value added taxes), sales volume rebates provided to qualified distributors based on the volume sold to such distributors and business partners in a certain period and sales return estimated based on historical experiences.</w:t>
      </w:r>
    </w:p>
    <w:p>
      <w:pPr>
        <w:spacing w:after="0" w:line="14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E-scooter sales. </w:t>
      </w:r>
      <w:r>
        <w:rPr>
          <w:rFonts w:ascii="Times New Roman" w:cs="Times New Roman" w:eastAsia="Times New Roman" w:hAnsi="Times New Roman"/>
          <w:sz w:val="18"/>
          <w:szCs w:val="18"/>
          <w:color w:val="auto"/>
        </w:rPr>
        <w:t>We generate a large majority of our revenues from sales of e-scooters to our distributors and business partners offline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to individual consumers online.</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adopted an omnichannel retail model, integrating the offline and online channels, to sell our e-scooters. In China, we have a “city partner” system, and sell e-scooters to the city partners. City partners are our distributors, who either open and operate franchised stores or sign up franchised stores, and the franchised stores sell our products and provide services to individual consumers. In international markets, we sell to business partners. We generate revenues by selling e-scooters to our city partners in China and overseas business partners at a discount to the retail price. In addition, we incentivize them by providing sales volume rebate. We also sell directly to individual consumers through third-party e-commerce platforms, as well as on our own online store. We treat distributors and business partners offline and individual consumers online as our customers.</w:t>
      </w:r>
    </w:p>
    <w:p>
      <w:pPr>
        <w:spacing w:after="0" w:line="16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Accessories and spare parts sales. </w:t>
      </w:r>
      <w:r>
        <w:rPr>
          <w:rFonts w:ascii="Times New Roman" w:cs="Times New Roman" w:eastAsia="Times New Roman" w:hAnsi="Times New Roman"/>
          <w:sz w:val="18"/>
          <w:szCs w:val="18"/>
          <w:color w:val="auto"/>
        </w:rPr>
        <w:t>We sell proprietary accessories and spare parts to be installed on or used with our e-scooters,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rear storage boxes and front baskets. We also offer NIU-branded accessories and general merchandise, such as decorative car plate, rear box, helmet and apparel.</w:t>
      </w:r>
    </w:p>
    <w:p>
      <w:pPr>
        <w:spacing w:after="0" w:line="1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 revenues. </w:t>
      </w:r>
      <w:r>
        <w:rPr>
          <w:rFonts w:ascii="Times New Roman" w:cs="Times New Roman" w:eastAsia="Times New Roman" w:hAnsi="Times New Roman"/>
          <w:sz w:val="18"/>
          <w:szCs w:val="18"/>
          <w:color w:val="auto"/>
        </w:rPr>
        <w:t>Our service revenues primarily relate to our services associated with NIU app, NIU Cover and R&amp;D services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 partner.</w:t>
      </w:r>
    </w:p>
    <w:p>
      <w:pPr>
        <w:spacing w:after="0" w:line="118" w:lineRule="exact"/>
        <w:rPr>
          <w:sz w:val="20"/>
          <w:szCs w:val="20"/>
          <w:color w:val="auto"/>
        </w:rPr>
      </w:pPr>
    </w:p>
    <w:p>
      <w:pPr>
        <w:jc w:val="both"/>
        <w:ind w:left="680" w:hanging="321"/>
        <w:spacing w:after="0" w:line="267"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NIU app. </w:t>
      </w:r>
      <w:r>
        <w:rPr>
          <w:rFonts w:ascii="Times New Roman" w:cs="Times New Roman" w:eastAsia="Times New Roman" w:hAnsi="Times New Roman"/>
          <w:sz w:val="18"/>
          <w:szCs w:val="18"/>
          <w:color w:val="auto"/>
        </w:rPr>
        <w:t>We generate revenues from the NIU app by providing subscription-based mobile app services. The subscription fee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initial one year is included in the retail price of our smart e-scooters, and after the initial period, users will need to pay a fee to renew the subscription.</w:t>
      </w:r>
    </w:p>
    <w:p>
      <w:pPr>
        <w:spacing w:after="0" w:line="146" w:lineRule="exact"/>
        <w:rPr>
          <w:rFonts w:ascii="Times New Roman" w:cs="Times New Roman" w:eastAsia="Times New Roman" w:hAnsi="Times New Roman"/>
          <w:sz w:val="18"/>
          <w:szCs w:val="18"/>
          <w:color w:val="auto"/>
        </w:rPr>
      </w:pPr>
    </w:p>
    <w:p>
      <w:pPr>
        <w:ind w:left="680" w:hanging="321"/>
        <w:spacing w:after="0" w:line="284"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NIU Cover. </w:t>
      </w:r>
      <w:r>
        <w:rPr>
          <w:rFonts w:ascii="Times New Roman" w:cs="Times New Roman" w:eastAsia="Times New Roman" w:hAnsi="Times New Roman"/>
          <w:sz w:val="18"/>
          <w:szCs w:val="18"/>
          <w:color w:val="auto"/>
        </w:rPr>
        <w:t>We facilitate the sale of insurance policies for our e-scooters to individual customers, which are provided by third-party insurance companies.</w:t>
      </w:r>
    </w:p>
    <w:p>
      <w:pPr>
        <w:spacing w:after="0" w:line="117" w:lineRule="exact"/>
        <w:rPr>
          <w:rFonts w:ascii="Times New Roman" w:cs="Times New Roman" w:eastAsia="Times New Roman" w:hAnsi="Times New Roman"/>
          <w:sz w:val="18"/>
          <w:szCs w:val="18"/>
          <w:color w:val="auto"/>
        </w:rPr>
      </w:pPr>
    </w:p>
    <w:p>
      <w:pPr>
        <w:ind w:left="680" w:right="20" w:hanging="321"/>
        <w:spacing w:after="0" w:line="284"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R&amp;D services. </w:t>
      </w:r>
      <w:r>
        <w:rPr>
          <w:rFonts w:ascii="Times New Roman" w:cs="Times New Roman" w:eastAsia="Times New Roman" w:hAnsi="Times New Roman"/>
          <w:sz w:val="18"/>
          <w:szCs w:val="18"/>
          <w:color w:val="auto"/>
        </w:rPr>
        <w:t>We collaborate with a strategic partner for a joint R&amp;D project and we generate revenues from the R&amp;D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provided.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Cost of products sold represents a majority of our cost of revenues, and the other components of cost of revenues include shipping costs, tariff costs, write-downs of inventories and warranty costs.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products sold mainly consists of the cost for purchasing raw materials and components, the labor cost and other costs for manufacturing e-scooters. We purchase raw materials and main components, such as batteries, motors, tires, battery chargers and controllers, from suppliers and assemble e-scooters in our own production facility.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gross margin is mainly affected by the retail price, product mix change, sales volume rebate and the cost of revenue per e-scooter.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gross profit and gross margin for each of the years presented: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7"/>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5660" w:type="dxa"/>
            <w:vAlign w:val="bottom"/>
          </w:tcPr>
          <w:p>
            <w:pPr>
              <w:spacing w:after="0"/>
              <w:rPr>
                <w:sz w:val="12"/>
                <w:szCs w:val="12"/>
                <w:color w:val="auto"/>
              </w:rPr>
            </w:pPr>
          </w:p>
        </w:tc>
        <w:tc>
          <w:tcPr>
            <w:tcW w:w="68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31"/>
        </w:trPr>
        <w:tc>
          <w:tcPr>
            <w:tcW w:w="5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720" w:type="dxa"/>
            <w:vAlign w:val="bottom"/>
            <w:gridSpan w:val="8"/>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(in thousands, except for percentage data)</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73"/>
        </w:trPr>
        <w:tc>
          <w:tcPr>
            <w:tcW w:w="5660" w:type="dxa"/>
            <w:vAlign w:val="bottom"/>
          </w:tcPr>
          <w:p>
            <w:pPr>
              <w:ind w:left="548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5"/>
                <w:szCs w:val="15"/>
                <w:color w:val="auto"/>
              </w:rPr>
            </w:pP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5"/>
                <w:szCs w:val="15"/>
                <w:color w:val="auto"/>
              </w:rPr>
            </w:pPr>
          </w:p>
        </w:tc>
        <w:tc>
          <w:tcPr>
            <w:tcW w:w="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09"/>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570,747</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498,763</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843,571</w:t>
            </w: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120,629</w:t>
            </w:r>
          </w:p>
        </w:tc>
        <w:tc>
          <w:tcPr>
            <w:tcW w:w="160" w:type="dxa"/>
            <w:vAlign w:val="bottom"/>
            <w:tcBorders>
              <w:top w:val="single" w:sz="8" w:color="CCEEFF"/>
            </w:tcBorders>
            <w:shd w:val="clear" w:color="auto" w:fill="CCEEFF"/>
          </w:tcPr>
          <w:p>
            <w:pPr>
              <w:spacing w:after="0"/>
              <w:rPr>
                <w:sz w:val="18"/>
                <w:szCs w:val="18"/>
                <w:color w:val="auto"/>
              </w:rPr>
            </w:pPr>
          </w:p>
        </w:tc>
      </w:t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8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21.5 %</w:t>
            </w:r>
          </w:p>
        </w:tc>
        <w:tc>
          <w:tcPr>
            <w:tcW w:w="10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15.2 %</w:t>
            </w:r>
          </w:p>
        </w:tc>
        <w:tc>
          <w:tcPr>
            <w:tcW w:w="110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19.6 %</w:t>
            </w:r>
          </w:p>
        </w:tc>
        <w:tc>
          <w:tcPr>
            <w:tcW w:w="1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19.6 %</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selling and marketing expenses, research and development expenses, and general and administrative expenses. The following table sets forth the break-down of our total operating expenses, in amounts and as percentages of total operating expenses for each of the years presented: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8"/>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r>
      <w:tr>
        <w:trPr>
          <w:trHeight w:val="142"/>
        </w:trPr>
        <w:tc>
          <w:tcPr>
            <w:tcW w:w="3960" w:type="dxa"/>
            <w:vAlign w:val="bottom"/>
          </w:tcPr>
          <w:p>
            <w:pPr>
              <w:spacing w:after="0"/>
              <w:rPr>
                <w:sz w:val="12"/>
                <w:szCs w:val="12"/>
                <w:color w:val="auto"/>
              </w:rPr>
            </w:pPr>
          </w:p>
        </w:tc>
        <w:tc>
          <w:tcPr>
            <w:tcW w:w="980" w:type="dxa"/>
            <w:vAlign w:val="bottom"/>
            <w:tcBorders>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5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r>
      <w:tr>
        <w:trPr>
          <w:trHeight w:val="142"/>
        </w:trPr>
        <w:tc>
          <w:tcPr>
            <w:tcW w:w="3960" w:type="dxa"/>
            <w:vAlign w:val="bottom"/>
          </w:tcPr>
          <w:p>
            <w:pPr>
              <w:ind w:left="38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32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40" w:type="dxa"/>
            <w:vAlign w:val="bottom"/>
          </w:tcPr>
          <w:p>
            <w:pPr>
              <w:spacing w:after="0"/>
              <w:rPr>
                <w:sz w:val="12"/>
                <w:szCs w:val="12"/>
                <w:color w:val="auto"/>
              </w:rPr>
            </w:pPr>
          </w:p>
        </w:tc>
        <w:tc>
          <w:tcPr>
            <w:tcW w:w="3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center"/>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84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   US$</w:t>
            </w:r>
          </w:p>
        </w:tc>
        <w:tc>
          <w:tcPr>
            <w:tcW w:w="3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9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128"/>
        </w:trPr>
        <w:tc>
          <w:tcPr>
            <w:tcW w:w="3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40" w:type="dxa"/>
            <w:vAlign w:val="bottom"/>
            <w:gridSpan w:val="8"/>
          </w:tcPr>
          <w:p>
            <w:pPr>
              <w:jc w:val="center"/>
              <w:ind w:left="57"/>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for percentage data)</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216"/>
        </w:trPr>
        <w:tc>
          <w:tcPr>
            <w:tcW w:w="3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495,735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489,578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675,769</w:t>
            </w:r>
          </w:p>
        </w:tc>
        <w:tc>
          <w:tcPr>
            <w:tcW w:w="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96,634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3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150,986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130,111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166,452</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244,518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130,618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90,964</w:t>
            </w:r>
          </w:p>
        </w:tc>
        <w:tc>
          <w:tcPr>
            <w:tcW w:w="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0"/>
        </w:trPr>
        <w:tc>
          <w:tcPr>
            <w:tcW w:w="396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891,239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750,307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933,185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133,444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39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and marketing expenses. </w:t>
      </w:r>
      <w:r>
        <w:rPr>
          <w:rFonts w:ascii="Times New Roman" w:cs="Times New Roman" w:eastAsia="Times New Roman" w:hAnsi="Times New Roman"/>
          <w:sz w:val="18"/>
          <w:szCs w:val="18"/>
          <w:color w:val="auto"/>
        </w:rPr>
        <w:t>Our selling and marketing expenses primarily consist of advertising and promotion expenses, payroll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related expenses for personnel engaged in selling and marketing activities.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advertising and promotion expenses, consisting primarily of online and offline advertisements. We plan to continue to expand our new e-scooter product portfolio, sales network and retail channels, and engage in more selling and marketing activities to enhance our brand awareness and attract more purchases from new and existing customers in different geographic markets.</w:t>
      </w:r>
    </w:p>
    <w:p>
      <w:pPr>
        <w:spacing w:after="0" w:line="1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Our research and development expenses mainly consist of payroll and related costs for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involved in researching and developing new products and technologies, and design and development expenses, primarily including validation and testing fees. We plan to continue our innovation in design and technology and further expand our product portfolio.</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Our general and administrative expenses mainly consist of payroll and related costs for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engaging in general corporate functions, professional fees, allowance for doubtful accounts, foreign currency exchange gains and losses, and other general corporate expenses, as well as expenses associated with the use by these functions of facilities and equipment, such as depreciation and rental expenses.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Cayman Islands currently levies no taxes on corporations based upon profits, income, capital gains or appreciation. 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payments of dividends.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first HK$2 million of profits earned by our subsidiary incorporated in Hong Kong, Niu Technologies Group Limited, is taxed at 8.25%, representing a half the current tax rate, while the remaining profits continue to be taxed at the current tax rate of 16.5%. Niu Technologies Group Limited is exempted from the Hong Kong income tax on its foreign-derived income. In addition, payments of dividends from Niu Technologies Group Limited to our company are not subject to any withholding tax in Hong Kong. No provision for Hong Kong profits tax was made as we had no estimated assessable profit that was subject to Hong Kong profits tax during 2023, 2024 or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Mainland China</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mainland China subsidiaries, the VIE, and VIE’s subsidiaries are subject to the PRC Enterprise Income Tax Law and are generally subject to a statutory income tax rate of 25%. Under the PRC Enterprise Income Tax Law, preferential tax treatments will be granted to entities which conduct businesses in certain encouraged sectors and to entities otherwise classified as High and New Technology Enterprises (“HNTEs”). Jiangsu Xiaoniu and Beijing Niudian are currently qualified as HNTEs. Having obtained renewed HNTE qualifications in 2024 and 2025, respectively, Jiangsu Xiaoniu and Beijing Niudian enjoy a preferential income tax rate of 15% for the fiscal years from 2024 to 2026 and from 2025 to 2027, respectively. An entity could re-apply for the HNTE certificate when the prior certificate expires. The foregoing preferential income tax rates, however, are subject to periodic review and renewal by PRC authorities.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Enterprise Income Tax Law also imposes a withholding income tax of 10% on dividends distributed by a foreign investment enterprise to its immediate holding company outside of mainland China, if such immediate holding company is considered as a non-resident enterprise without any establishment or place within mainland China or if the received dividends have no connection with the establishment or place of such immediate holding company within mainland China, unless such immediate holding company’s jurisdiction of incorporation has a tax treaty with mainland China that provides for a different withholding arrangement. The Cayman Islands, where Niu Technologies is incorporated, does not have such tax treaty with mainland China. According to the Arrangement between the mainland China and the Hong Kong Special Administrative Region for the Avoidance of Double Taxation and Tax Evasion on Income, dividends paid by a foreign investment enterprise in mainland China to its immediate holding company in Hong Kong will be subject to withholding tax at a rate of no more than 5%, if the immediate holding company owns at least 25% of the equity interest of the foreign investment enterprise and satisfies all other requirements under the tax arrangement and receives approval from the tax authority. We did not record any dividend withholding tax, as our mainland China entities have no retained earnings in the periods presented. See “Item 3. Key Information— D. Risk Factors—Risks Related to Doing Business in China—We may not be able to obtain certain benefits under the tax treaty on dividends paid by our mainland China subsidiaries to us through our Hong Kong subsidiary.”</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Enterprise Income Tax Law also provides that an enterprise established under the laws of a foreign country or region but whose “de facto management body” is located in mainland China be treated as a resident enterprise for mainland China tax purposes and consequently be subject to the mainland China income tax at the rate of 25% for its global income. The implementing rules of the Enterprise Income Tax Law define the location of the “de facto management body” as “the place where the exercising, in substance, of the overall management and control of the production and business operation, personnel, accounting, property, etc., of a non-mainland China company is located.” Based on a review of surrounding facts and circumstances, we do not believe that it is likely that our operations outside of mainland China should be considered a resident enterprise for mainland China tax purposes. If our holding company in the Cayman Islands or any of our subsidiaries outside of mainland China were deemed to be a “resident enterprise” under the PRC Enterprise Income Tax Law, it would be subject to enterprise income tax on its worldwide income at a rate of 25%. See “Item 3. Key Information— D. Risk Factors—Risks Related to Doing Business in China—If we are classified as a mainland China resident enterprise for mainland China income tax purposes, such classification could result in unfavorable tax consequences to us and our non-mainland China shareholders or ADS holders.”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years presented, both in absolute amount and as a percentage of our net revenues for the years presented. Year-to-year comparisons of historical results of operations should not be relied upon as indicative of future performance.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2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480" w:type="dxa"/>
            <w:vAlign w:val="bottom"/>
          </w:tcPr>
          <w:p>
            <w:pPr>
              <w:spacing w:after="0"/>
              <w:rPr>
                <w:sz w:val="12"/>
                <w:szCs w:val="12"/>
                <w:color w:val="auto"/>
              </w:rPr>
            </w:pPr>
          </w:p>
        </w:tc>
        <w:tc>
          <w:tcPr>
            <w:tcW w:w="1360" w:type="dxa"/>
            <w:vAlign w:val="bottom"/>
          </w:tcPr>
          <w:p>
            <w:pPr>
              <w:ind w:left="12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8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spacing w:after="0"/>
              <w:rPr>
                <w:sz w:val="12"/>
                <w:szCs w:val="12"/>
                <w:color w:val="auto"/>
              </w:rPr>
            </w:pPr>
          </w:p>
        </w:tc>
        <w:tc>
          <w:tcPr>
            <w:tcW w:w="1060" w:type="dxa"/>
            <w:vAlign w:val="bottom"/>
            <w:gridSpan w:val="3"/>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68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spacing w:after="0"/>
              <w:rPr>
                <w:sz w:val="12"/>
                <w:szCs w:val="12"/>
                <w:color w:val="auto"/>
              </w:rPr>
            </w:pPr>
          </w:p>
        </w:tc>
        <w:tc>
          <w:tcPr>
            <w:tcW w:w="104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   RMB</w:t>
            </w:r>
          </w:p>
        </w:tc>
        <w:tc>
          <w:tcPr>
            <w:tcW w:w="920" w:type="dxa"/>
            <w:vAlign w:val="bottom"/>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   US$</w:t>
            </w:r>
          </w:p>
        </w:tc>
        <w:tc>
          <w:tcPr>
            <w:tcW w:w="70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2"/>
                <w:szCs w:val="12"/>
                <w:color w:val="auto"/>
              </w:rPr>
            </w:pPr>
          </w:p>
        </w:tc>
      </w:tr>
      <w:tr>
        <w:trPr>
          <w:trHeight w:val="20"/>
        </w:trPr>
        <w:tc>
          <w:tcPr>
            <w:tcW w:w="2480" w:type="dxa"/>
            <w:vAlign w:val="bottom"/>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8"/>
        </w:trPr>
        <w:tc>
          <w:tcPr>
            <w:tcW w:w="24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00" w:type="dxa"/>
            <w:vAlign w:val="bottom"/>
            <w:gridSpan w:val="7"/>
          </w:tcPr>
          <w:p>
            <w:pPr>
              <w:jc w:val="right"/>
              <w:ind w:right="7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for percentage data)</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38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2,651,758</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3,288,296</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4,307,865</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616,017</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8"/>
                <w:szCs w:val="18"/>
                <w:color w:val="auto"/>
              </w:rPr>
            </w:pPr>
          </w:p>
        </w:tc>
      </w:tr>
      <w:tr>
        <w:trPr>
          <w:trHeight w:val="216"/>
        </w:trPr>
        <w:tc>
          <w:tcPr>
            <w:tcW w:w="38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Cost of revenues</w:t>
            </w:r>
            <w:r>
              <w:rPr>
                <w:rFonts w:ascii="Times New Roman" w:cs="Times New Roman" w:eastAsia="Times New Roman" w:hAnsi="Times New Roman"/>
                <w:sz w:val="25"/>
                <w:szCs w:val="25"/>
                <w:color w:val="auto"/>
                <w:vertAlign w:val="superscript"/>
              </w:rPr>
              <w:t>(1)</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(2,081,011)</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(78.5)</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(2,789,533)</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(84.8)</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(3,464,294)</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(495,388)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0" w:type="dxa"/>
            <w:vAlign w:val="bottom"/>
          </w:tcPr>
          <w:p>
            <w:pPr>
              <w:spacing w:after="0"/>
              <w:rPr>
                <w:sz w:val="18"/>
                <w:szCs w:val="18"/>
                <w:color w:val="auto"/>
              </w:rPr>
            </w:pPr>
          </w:p>
        </w:tc>
      </w:tr>
      <w:tr>
        <w:trPr>
          <w:trHeight w:val="209"/>
        </w:trPr>
        <w:tc>
          <w:tcPr>
            <w:tcW w:w="384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570,747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498,763</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843,571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120,629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c>
          <w:tcPr>
            <w:tcW w:w="20" w:type="dxa"/>
            <w:vAlign w:val="bottom"/>
          </w:tcPr>
          <w:p>
            <w:pPr>
              <w:spacing w:after="0"/>
              <w:rPr>
                <w:sz w:val="18"/>
                <w:szCs w:val="18"/>
                <w:color w:val="auto"/>
              </w:rPr>
            </w:pPr>
          </w:p>
        </w:tc>
      </w:tr>
      <w:tr>
        <w:trPr>
          <w:trHeight w:val="20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(495,735)</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(489,578)</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(675,769)</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(96,634)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Pr>
          <w:p>
            <w:pPr>
              <w:spacing w:after="0"/>
              <w:rPr>
                <w:sz w:val="18"/>
                <w:szCs w:val="18"/>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(150,986)</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(130,111)</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(166,452)</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(23,802)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r>
      <w:tr>
        <w:trPr>
          <w:trHeight w:val="216"/>
        </w:trPr>
        <w:tc>
          <w:tcPr>
            <w:tcW w:w="38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(244,518)</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(130,618)</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(90,964)</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(13,008)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r>
      <w:tr>
        <w:trPr>
          <w:trHeight w:val="209"/>
        </w:trPr>
        <w:tc>
          <w:tcPr>
            <w:tcW w:w="3840" w:type="dxa"/>
            <w:vAlign w:val="bottom"/>
            <w:tcBorders>
              <w:bottom w:val="single" w:sz="8" w:color="CCEEFF"/>
            </w:tcBorders>
            <w:gridSpan w:val="2"/>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Total operating expenses</w:t>
            </w:r>
            <w:r>
              <w:rPr>
                <w:rFonts w:ascii="Times New Roman" w:cs="Times New Roman" w:eastAsia="Times New Roman" w:hAnsi="Times New Roman"/>
                <w:sz w:val="24"/>
                <w:szCs w:val="24"/>
                <w:b w:val="1"/>
                <w:bCs w:val="1"/>
                <w:color w:val="auto"/>
                <w:vertAlign w:val="superscript"/>
              </w:rPr>
              <w:t>(1)</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(891,239)</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(750,307)</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(933,185)</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(133,444)</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20" w:type="dxa"/>
            <w:vAlign w:val="bottom"/>
          </w:tcPr>
          <w:p>
            <w:pPr>
              <w:spacing w:after="0"/>
              <w:rPr>
                <w:sz w:val="18"/>
                <w:szCs w:val="18"/>
                <w:color w:val="auto"/>
              </w:rPr>
            </w:pPr>
          </w:p>
        </w:tc>
      </w:tr>
      <w:tr>
        <w:trPr>
          <w:trHeight w:val="210"/>
        </w:trPr>
        <w:tc>
          <w:tcPr>
            <w:tcW w:w="38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8"/>
                <w:szCs w:val="18"/>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(317,523)</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(12.0)</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(250,632)</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(7.6)</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(88,247)</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(12,619)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tcPr>
          <w:p>
            <w:pPr>
              <w:spacing w:after="0"/>
              <w:rPr>
                <w:sz w:val="18"/>
                <w:szCs w:val="18"/>
                <w:color w:val="auto"/>
              </w:rPr>
            </w:pPr>
          </w:p>
        </w:tc>
      </w:tr>
      <w:tr>
        <w:trPr>
          <w:trHeight w:val="209"/>
        </w:trPr>
        <w:tc>
          <w:tcPr>
            <w:tcW w:w="384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8"/>
                <w:szCs w:val="18"/>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35,492</w:t>
            </w: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37,090</w:t>
            </w: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26,464</w:t>
            </w:r>
          </w:p>
        </w:tc>
        <w:tc>
          <w:tcPr>
            <w:tcW w:w="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8"/>
                <w:szCs w:val="18"/>
                <w:color w:val="auto"/>
              </w:rPr>
            </w:pPr>
          </w:p>
        </w:tc>
      </w:tr>
      <w:tr>
        <w:trPr>
          <w:trHeight w:val="216"/>
        </w:trPr>
        <w:tc>
          <w:tcPr>
            <w:tcW w:w="38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8"/>
                <w:szCs w:val="18"/>
                <w:color w:val="auto"/>
              </w:rPr>
            </w:pPr>
          </w:p>
        </w:tc>
      </w:tr>
      <w:tr>
        <w:trPr>
          <w:trHeight w:val="216"/>
        </w:trPr>
        <w:tc>
          <w:tcPr>
            <w:tcW w:w="38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(282,029)</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(10.7)</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(216,807)</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(6.6)</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(62,369)</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(8,919)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0" w:type="dxa"/>
            <w:vAlign w:val="bottom"/>
          </w:tcPr>
          <w:p>
            <w:pPr>
              <w:spacing w:after="0"/>
              <w:rPr>
                <w:sz w:val="18"/>
                <w:szCs w:val="18"/>
                <w:color w:val="auto"/>
              </w:rPr>
            </w:pPr>
          </w:p>
        </w:tc>
      </w:tr>
      <w:tr>
        <w:trPr>
          <w:trHeight w:val="216"/>
        </w:trPr>
        <w:tc>
          <w:tcPr>
            <w:tcW w:w="38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10,193</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23,606</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22,983</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8"/>
                <w:szCs w:val="18"/>
                <w:color w:val="auto"/>
              </w:rPr>
            </w:pPr>
          </w:p>
        </w:tc>
      </w:tr>
      <w:tr>
        <w:trPr>
          <w:trHeight w:val="210"/>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(271,836)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(193,201)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(39,386)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(5,632)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20" w:type="dxa"/>
            <w:vAlign w:val="bottom"/>
            <w:tcBorders>
              <w:bottom w:val="single" w:sz="8" w:color="auto"/>
            </w:tcBorders>
          </w:tcPr>
          <w:p>
            <w:pPr>
              <w:spacing w:after="0"/>
              <w:rPr>
                <w:sz w:val="18"/>
                <w:szCs w:val="18"/>
                <w:color w:val="auto"/>
              </w:rPr>
            </w:pPr>
          </w:p>
        </w:tc>
      </w:tr>
      <w:tr>
        <w:trPr>
          <w:trHeight w:val="20"/>
        </w:trPr>
        <w:tc>
          <w:tcPr>
            <w:tcW w:w="2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2480" w:type="dxa"/>
            <w:vAlign w:val="bottom"/>
            <w:tcBorders>
              <w:bottom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r>
    </w:tbl>
    <w:p>
      <w:pPr>
        <w:spacing w:after="0" w:line="85"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Share-based compensation expenses are allocated in cost of revenues and operating expenses items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00" w:type="dxa"/>
            <w:vAlign w:val="bottom"/>
            <w:vMerge w:val="restart"/>
          </w:tcPr>
          <w:p>
            <w:pPr>
              <w:ind w:left="56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00" w:type="dxa"/>
            <w:vAlign w:val="bottom"/>
            <w:vMerge w:val="continue"/>
          </w:tcPr>
          <w:p>
            <w:pPr>
              <w:spacing w:after="0"/>
              <w:rPr>
                <w:sz w:val="12"/>
                <w:szCs w:val="12"/>
                <w:color w:val="auto"/>
              </w:rPr>
            </w:pPr>
          </w:p>
        </w:tc>
        <w:tc>
          <w:tcPr>
            <w:tcW w:w="88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vMerge w:val="continue"/>
          </w:tcPr>
          <w:p>
            <w:pPr>
              <w:spacing w:after="0"/>
              <w:rPr>
                <w:sz w:val="12"/>
                <w:szCs w:val="12"/>
                <w:color w:val="auto"/>
              </w:rPr>
            </w:pPr>
          </w:p>
        </w:tc>
        <w:tc>
          <w:tcPr>
            <w:tcW w:w="90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vMerge w:val="continue"/>
          </w:tcPr>
          <w:p>
            <w:pPr>
              <w:spacing w:after="0"/>
              <w:rPr>
                <w:sz w:val="12"/>
                <w:szCs w:val="12"/>
                <w:color w:val="auto"/>
              </w:rPr>
            </w:pPr>
          </w:p>
        </w:tc>
        <w:tc>
          <w:tcPr>
            <w:tcW w:w="86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Borders>
              <w:bottom w:val="single" w:sz="8" w:color="auto"/>
            </w:tcBorders>
          </w:tcPr>
          <w:p>
            <w:pPr>
              <w:spacing w:after="0"/>
              <w:rPr>
                <w:sz w:val="12"/>
                <w:szCs w:val="12"/>
                <w:color w:val="auto"/>
              </w:rPr>
            </w:pP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28"/>
        </w:trPr>
        <w:tc>
          <w:tcPr>
            <w:tcW w:w="5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60" w:type="dxa"/>
            <w:vAlign w:val="bottom"/>
            <w:gridSpan w:val="3"/>
          </w:tcPr>
          <w:p>
            <w:pPr>
              <w:jc w:val="right"/>
              <w:ind w:right="41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21,654</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16"/>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14,775</w:t>
            </w: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9,047</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11,587</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47,659</w:t>
            </w: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24,233</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27,731</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3,966</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4880"/>
              <w:spacing w:after="0"/>
              <w:rPr>
                <w:sz w:val="20"/>
                <w:szCs w:val="20"/>
                <w:color w:val="auto"/>
              </w:rPr>
            </w:pPr>
            <w:r>
              <w:rPr>
                <w:rFonts w:ascii="Times New Roman" w:cs="Times New Roman" w:eastAsia="Times New Roman" w:hAnsi="Times New Roman"/>
                <w:sz w:val="18"/>
                <w:szCs w:val="18"/>
                <w:color w:val="auto"/>
              </w:rPr>
              <w:t>98</w:t>
            </w: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7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5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220"/>
        <w:spacing w:after="0" w:line="456" w:lineRule="auto"/>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 Revenues</w:t>
      </w: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revenues increased by 31.0% from RMB3,288.3 million in 2024 to RMB4,307.9 million (US$616.0 million) in 2025, which was primarily driven by the increased sales volume of e-scooters.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revenues from e-scooter sales increased by 31.6% from RMB2,960.5 million in 2024 to RMB3,896.5 million (US$557.2 million) in 2025, which was mainly attributable to a 29.0% increase in e-scooters sales volume from 924,340 in 2024 to 1,192,039 in 2025. This increase in the sales volume was driven by the expansion of our domestic sales network, with the number of franchised stores increasing from 3,735 as of December 31, 2024 to 4,540 as of December 31, 2025, as well as the successful launch of new models throughout 2025.</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revenues from accessory and spare parts sales increased from RMB241.7 million in 2024 to RMB299.2 million (US$42.8 million) in 2025, mainly attributable to the increased sales volume of e-scooters in domestic market, which usually correlates with purchases of accessories and spare parts. The service revenues increased from RMB86.1 million in 2024 to RMB112.2 million (US$16.0 million) in 2025, mainly due to increased service revenues generated through NIU app.</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revenues per e-scooter increased from RMB3,203 in 2024 to RMB3,269 (US$467) in 2025, and the blended revenues per e-scooter (including accessories, spare parts and services) increased from RMB3,557 in 2024 to RMB3,614 (US$517) in 2025. These increases were mainly driven by a higher proportion of e-scooter sales from the domestic market.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 of revenues increased by 24.2% from RMB2,789.5 million in 2024 to RMB3,464.3 million (US$495.4 million) in 2025. The increase was primarily attributable to an increase in cost of products from RMB2,639.4 million in 2024 to RMB3,259.2 million (US$466.1 million) in 2025, which was generally in line with the increase in e-scooter sales volume.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cost per e-scooter, defined as cost of revenues divided by the number of e-scooters sold in a specified period, decreased from RMB3,018 in 2024 to RMB2,906 (US$416) in 2025, which was primarily attributable to our cost-reduction initiatives.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generated a gross profit of RMB843.6 million (US$120.6 million) in 2025, compared to RMB498.8 million in 2024. Our gross margin increased from 15.2% in 2024 to 19.6% in 2025, which was mainly driven by the performance in the domestic market, reflecting a strategic shift in product mix towards higher-margin e-scooters, along with our continued cost-optimization initiatives. This was partially offset by a lower gross margin for kick-scooters in international markets.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selling and marketing expenses increased by 38.0% from RMB489.6 million in 2024 to RMB675.8 million (US$96.6 million) in 2025. This increase was primarily due to an increase of RMB130.0 million in advertising and promotion expenses, primarily driven by our expanded marketing activities in domestic market, an increase of RMB39.7 million in staff cost, and an increase of RMB27.7 million in rental expenses, mainly resulting from international business operations. These increases were partially offset by a decrease of RMB16.1 million in depreciation and amortization. Our selling and marketing expenses as a percentage of our revenues increased from 14.9% in 2024 to 15.7% in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increased by 27.9% from RMB130.1 million in 2024 to RMB166.5 million (US$23.8 million) in 2025. The increase was mainly driven by an increase of RMB16.4 million in staff costs, primarily attributable to the increased research and development headcount in 2025, and an increase of RMB16.4 million in design and testing expenses, reflecting our efforts in new product development and technological advancement. Our research and development expenses as a percentage of our revenues slightly decreased from 4.0% in 2024 to 3.9% in 2025.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general and administrative expenses decreased by 30.4% from RMB130.6 million in 2024 to RMB91.0 million (US$13.0 million) in 2025. The decrease was primarily due to a favorable impact of RMB26.2 million from foreign currency exchange, and a decrease of RMB 13.5 million in allowance for doubtful accounts. Our general and administrative expenses as a percentage of our revenues decreased from 3.9% in 2024 to 2.1% in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grants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government grants increased from RMB0.9 million in 2024 to RMB1.4 million (US$0.2 million) in 2025. The government grants mainly consisted of subsidies from local government or industrial parks where our offices are located and there was no significant commitment, contingencies or provision for recapture conditions for the government grants received.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the foregoing, we recorded a net loss of RMB39.4 million (US$5.6 million) in 2025, compared to RMB193.2 million in 2024.</w:t>
      </w:r>
    </w:p>
    <w:p>
      <w:pPr>
        <w:spacing w:after="0" w:line="131" w:lineRule="exact"/>
        <w:rPr>
          <w:sz w:val="20"/>
          <w:szCs w:val="20"/>
          <w:color w:val="auto"/>
        </w:rPr>
      </w:pPr>
    </w:p>
    <w:p>
      <w:pPr>
        <w:ind w:right="4220"/>
        <w:spacing w:after="0" w:line="456" w:lineRule="auto"/>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 Revenues</w:t>
      </w:r>
    </w:p>
    <w:p>
      <w:pPr>
        <w:jc w:val="both"/>
        <w:spacing w:after="0" w:line="282" w:lineRule="auto"/>
        <w:rPr>
          <w:sz w:val="20"/>
          <w:szCs w:val="20"/>
          <w:color w:val="auto"/>
        </w:rPr>
      </w:pPr>
      <w:r>
        <w:rPr>
          <w:rFonts w:ascii="Times New Roman" w:cs="Times New Roman" w:eastAsia="Times New Roman" w:hAnsi="Times New Roman"/>
          <w:sz w:val="18"/>
          <w:szCs w:val="18"/>
          <w:color w:val="auto"/>
        </w:rPr>
        <w:t>Our revenues increased by 24.0% from RMB2,651.8 million in 2023 to RMB3,288.3 million in 2024, which was primarily due to an increase in e-scooter sales volume.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revenues from e-scooter sales increased by 25.5% from RMB2,358.7 million in 2023 to RMB2,960.5 million in 2024, which was mainly due to an increase in the sales volume of e-scooters by 30.2% from 709,802 in 2023 to 924,340 in 2024. The increase in the sales volume of e-scooters was driven by the expansion of our sales network in China from 2,856 franchised stores as of December 31, 2023 to 3,735 franchised stores as of December 31, 2024, and the successful launch of new models throughout 2024.</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revenues from accessory and spare parts sales increased from RMB197.6 million in 2023 to RMB241.7 million in 2024, mainly attributable to increase in the sales volume of e-scooters in domestic market, which usually correlates with purchases of accessories and spare parts. The service revenues decreased from RMB95.5 million in 2023 to RMB86.1 million in 2024, mainly due to the decrease in sales volume of e-motorcycles and e-mopeds in international markets, which primarily impacted our service revenues associated with NIU app.</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revenues per e-scooter decreased from RMB3,323 in 2023 to RMB3,203 in 2024, and the blended revenues per e-scooter (including accessories, spare parts and services) decreased from RMB3,736 in 2023 to RMB3,557 in 2024. Such decreases were mainly due to the increased sales volume of kick-scooters in international markets, which generally have a lower sales price.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 of revenues increased by 34.0% from RMB2,081.0 million in 2023 to RMB2,789.5 million in 2024. The increase was primarily attributable to an increase in cost of products from RMB1,992.5 million in 2023 to RMB2,639.4 million in 2024, which was generally in line with the increase in e-scooter sales volume.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per e-scooter, defined as cost of revenues divided by the number of e-scooters sold in a specified period, increased from RMB2,932 in 2023 to RMB3,018 in 2024, which was primarily due to a higher proportion of premium series sales in domestic market with higher cost per e-scooter.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generated a gross profit of RMB498.8 million in 2024, as compared to a gross profit of RMB570.7 million in 2023. Our gross margin decreased from 21.5% in 2023 to 15.2% in 2024, which was mainly due to higher proportion of kick-scooters sales with lower sales prices and margin in international markets, changes in product mix of e-scooters, and increased sales incentives to franchisees.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selling and marketing expenses decreased by 1.2% from RMB495.7 million in 2023 to RMB489.6 million in 2024. This reduction was primarily due to a decrease of RMB29.4 million in depreciation and amortization, RMB23.5 million in rental expenses, which were partially offset by an increase of RMB20.2 million in staff cost, RMB12.2 million in after-sales services, and RMB5.2 million in advertising and promotion expenses.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depreciation and amortization was mainly due to a slowdown in store openings during 2022 and 2023. The reduction in rental expenses was primarily attributed to the optimization of our international operations. The increase in staff cost was primarily due to increased number of our sales staff. The increase in after-sales service expenses was mainly resulted from the increased sales volume of e-scooters. Our selling and marketing expenses as a percentage of our revenues decreased from 18.7% in 2023 to 14.9% in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research and development expenses decreased by 13.8% from RMB151.0 million in 2023 to RMB130.1 million in 2024. The decrease was mainly driven by a decline of RMB14.3 million in share-based compensation expenses, and a decrease of RMB5.6 million in design and testing expenses. The decrease in share-based compensation expenses was primarily attributable to the reduction in research and development personnel in 2023, leading to lower amortization expenses in 2024. The decrease of design and testing expenses primarily resulting from our cost-effective measures. Our research and development expenses as a percentage of our revenues slightly decreased from 5.7% in 2023 to 4.0% in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general and administrative expenses decreased by 46.6% from RMB244.5 million in 2023 to RMB130.6 million in 2024. The decrease was primarily due to a decrease of RMB131.8 million in allowance for doubtful accounts, partially offset by an increase of RMB12.5 million due to foreign exchange gain or loss, and an increase of RMB13.2 million in staff costs. The increase in staff costs was mainly due to an increase in the number of employees with general corporate functions. Our general and administrative expenses as a percentage of our revenues decreased from 9.2% in 2023 to 3.9% in 2024. Excluding allowance for doubtful accounts, our general and administrative expenses as a percentage of our revenues was 3.7% in 2024, as compared to 4.0% in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grants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government grants decreased from RMB3.0 million in 2023 to RMB0.9 million in 2024. The government grants mainly consisted of subsidies from local government or industrial parks where our offices are located and there was no significant commitment, contingencies or provision for recapture conditions for the government grants received.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foregoing, we were in a net loss of RMB193.2 million in 2024, compared to RMB271.8 million in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7100" w:firstLine="8"/>
        <w:spacing w:after="0" w:line="456" w:lineRule="auto"/>
        <w:tabs>
          <w:tab w:leader="none" w:pos="32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 Cash flows and working capital</w:t>
      </w: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had net cash provided by operating activities of RMB93.7 million, RMB52.3 million and RMB353.3 million (US$50.5 million) in 2023, 2024 and 2025, respectively.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have been cash provided by operating activities and financing activities. As of December 31, 2025, we had RMB1,135.6 million (US162.4 million) in cash, cash equivalents and restricted cash, of which approximately 48.1% were held in Renminbi and the remainder was mainly held in U.S. dollars.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considering all facts available to us as of the date of this annual report, we believe our cash and cash equivalents, restricted cash, term deposits and short-term investments will be sufficient to meet our current and anticipated needs for general corporate purposes for at least the next 12 months. We may, however, need additional cash resources in the future if we experience changes in business conditions or other developments. We may also need additional cash resources in the future if we find and wish to pursue opportunities for investment, acquisition, capital expenditure or similar actions. If we determine that our cash requirements exceed the amount of cash and cash equivalents we have on hand, we may seek to issue equity or equity linked securities or obtain debt financing.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the following short-term bank borrowings:</w:t>
      </w:r>
    </w:p>
    <w:p>
      <w:pPr>
        <w:spacing w:after="0" w:line="198" w:lineRule="exact"/>
        <w:rPr>
          <w:sz w:val="20"/>
          <w:szCs w:val="20"/>
          <w:color w:val="auto"/>
        </w:rPr>
      </w:pPr>
    </w:p>
    <w:p>
      <w:pPr>
        <w:jc w:val="both"/>
        <w:ind w:left="680" w:hanging="321"/>
        <w:spacing w:after="0" w:line="261"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2022, we entered into a twelve-month revolving loan facility agreement with a commercial bank in mainland China, which was extended to mature in May 2026. Pursuant to this agreement, we were entitled to utilize the facility for short-term bank loans and bank acceptance notes up to RMB300 million. As of December 31, 2025, this facility was utilized for bank acceptance notes, with an outstanding balance of RMB184.3 million.</w:t>
      </w:r>
    </w:p>
    <w:p>
      <w:pPr>
        <w:spacing w:after="0" w:line="139" w:lineRule="exact"/>
        <w:rPr>
          <w:rFonts w:ascii="Times New Roman" w:cs="Times New Roman" w:eastAsia="Times New Roman" w:hAnsi="Times New Roman"/>
          <w:sz w:val="18"/>
          <w:szCs w:val="18"/>
          <w:color w:val="auto"/>
        </w:rPr>
      </w:pPr>
    </w:p>
    <w:p>
      <w:pPr>
        <w:jc w:val="both"/>
        <w:ind w:left="680" w:hanging="321"/>
        <w:spacing w:after="0" w:line="255"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2023, we entered into a twelve-month secured loan facility agreement with a commercial bank in mainland China, pursuant to which we were entitled to utilize the facility for secured bank loans up to RMB160 million. In March and June 2024, we entered into two additional twelve-month secured loan facility agreements with the same bank, which were extended to mature in March and June 2026, respectively. Pursuant to each of the agreements, we were entitled to utilize the facility up to RMB100 million (RMB200 million in aggregate). As of December 31, 2025, total outstanding borrowings under these loan facility agreements were RMB200 million, secured by a U.S. dollar deposit equivalent to RMB210.9 million placed with the bank.</w:t>
      </w:r>
    </w:p>
    <w:p>
      <w:pPr>
        <w:spacing w:after="0" w:line="148" w:lineRule="exact"/>
        <w:rPr>
          <w:rFonts w:ascii="Times New Roman" w:cs="Times New Roman" w:eastAsia="Times New Roman" w:hAnsi="Times New Roman"/>
          <w:sz w:val="18"/>
          <w:szCs w:val="18"/>
          <w:color w:val="auto"/>
        </w:rPr>
      </w:pPr>
    </w:p>
    <w:p>
      <w:pPr>
        <w:jc w:val="both"/>
        <w:ind w:left="680" w:hanging="321"/>
        <w:spacing w:after="0" w:line="254"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2024, we entered into a six-month revolving loan facility agreement with a commercial bank in mainland China, which was extended to mature in January 2025. Pursuant to this agreement, we were entitled to utilize the facility for bank acceptance notes up to RMB50 million. In March 2025, we entered into a twelve-month revolving loan facility agreement with the same bank, pursuant to which we were entitled to utilize the facility for short-term bank loans up to RMB20 million. In March 2025, we further entered into a six-month revolving loan facility agreement, under which we were entitled to utilize the facility for bank acceptance notes up to RMB60million. In October 2025, this facility was extended to mature in April 2026, with the cap increased to RMB100 million. As of December 31, 2025, total outstanding borrowings and notes payable under these loan facility agreements were RMB20 million and RMB100 million, respectively.</w:t>
      </w:r>
    </w:p>
    <w:p>
      <w:pPr>
        <w:spacing w:after="0" w:line="164" w:lineRule="exact"/>
        <w:rPr>
          <w:rFonts w:ascii="Times New Roman" w:cs="Times New Roman" w:eastAsia="Times New Roman" w:hAnsi="Times New Roman"/>
          <w:sz w:val="18"/>
          <w:szCs w:val="18"/>
          <w:color w:val="auto"/>
        </w:rPr>
      </w:pPr>
    </w:p>
    <w:p>
      <w:pPr>
        <w:jc w:val="both"/>
        <w:ind w:left="680" w:hanging="321"/>
        <w:spacing w:after="0" w:line="256"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and November 2024, we entered into two twelve-month revolving loan facility agreements with a commercial bank in mainland China, pursuant to each of which we were entitled to utilize the facility for short-term bank loans and bank acceptance notes up to RMB50 million (RMB100 million in aggregate). In December 2025, the facilities were extended to mature in December 2026, with the cap for each facility increased to RMB100 million (RMB200 million in aggregate). As of December 31, 2025, the outstanding borrowings and notes payable under these facility agreements were RMB 20 million and RMB80 million,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right="40" w:hanging="321"/>
        <w:spacing w:after="0" w:line="261" w:lineRule="auto"/>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we entered into a twelve-month revolving loan facility agreement with a commercial bank in mainland China, which was extended to mature in June 2026. Pursuant to this agreement, we were entitled to utilize the facility for bank acceptance notes up to RMB30 million. As of December 31, 2025, the facility was utilized for bank acceptance notes, with an outstanding balance of RMB30 million.</w:t>
      </w:r>
    </w:p>
    <w:p>
      <w:pPr>
        <w:spacing w:after="0" w:line="13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Although we consolidate the results of the VIE, we only have access to the assets or earnings of the VIE through our contractual arrangements with the VIE and its shareholders. See “Item 4. Information on the Company—C. Organizational Structure” For restrictions and limitations on liquidity and capital resources as a result of our corporate structure, see “—Holding Company Structure.”</w:t>
      </w:r>
    </w:p>
    <w:p>
      <w:pPr>
        <w:spacing w:after="0" w:line="135"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8"/>
          <w:szCs w:val="18"/>
          <w:color w:val="auto"/>
        </w:rPr>
        <w:t>A substantial majority of our revenues have been, and we expect they are likely to continue to be, in the form of Renminbi. Under existing foreign exchange regulations of mainland China,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mainland China subsidiaries are allowed to pay dividends in foreign currencies to us without prior SAFE approval by following certain routine procedural requirements. However, current regulations of mainland China permit our mainland China subsidiaries to pay dividends to us only out of its accumulated profits, if any, determined in accordance with Chinese accounting standards and regulations. Our mainland China subsidiaries are required to set aside at least 10% of its after-tax profits after making up previous years’ accumulated losses each year, if any, to fund certain reserve funds until the total amount set aside reaches 50% of its registered capital. These reserves are not distributable as cash dividends. Historically, our mainland China subsidiaries have not paid dividends to us. Furthermore, capital account transactions, which include foreign direct investment and loans, must be approved by and/or registered with SAFE, its local branches and certain local banks.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movements of our cash flows for the years presented: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Pr>
          <w:p>
            <w:pPr>
              <w:ind w:left="540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20" w:type="dxa"/>
            <w:vAlign w:val="bottom"/>
            <w:vMerge w:val="restart"/>
          </w:tcPr>
          <w:p>
            <w:pPr>
              <w:ind w:left="540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20" w:type="dxa"/>
            <w:vAlign w:val="bottom"/>
            <w:vMerge w:val="continue"/>
          </w:tcPr>
          <w:p>
            <w:pPr>
              <w:spacing w:after="0"/>
              <w:rPr>
                <w:sz w:val="12"/>
                <w:szCs w:val="12"/>
                <w:color w:val="auto"/>
              </w:rPr>
            </w:pPr>
          </w:p>
        </w:tc>
        <w:tc>
          <w:tcPr>
            <w:tcW w:w="94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vMerge w:val="continue"/>
          </w:tcPr>
          <w:p>
            <w:pPr>
              <w:spacing w:after="0"/>
              <w:rPr>
                <w:sz w:val="12"/>
                <w:szCs w:val="12"/>
                <w:color w:val="auto"/>
              </w:rPr>
            </w:pPr>
          </w:p>
        </w:tc>
        <w:tc>
          <w:tcPr>
            <w:tcW w:w="940" w:type="dxa"/>
            <w:vAlign w:val="bottom"/>
            <w:tcBorders>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96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Consolidated Cash Flow Data:</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93,735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353,270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216,310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(292,429)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(90,601)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(59,346)</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100,267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Effect of foreign currency exchange rate changes on cash, cash</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(13,649)</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259,613</w:t>
            </w: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(133,823)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289,185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41,353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year</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720,627</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980,240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846,417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year</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980,240</w:t>
            </w:r>
          </w:p>
        </w:tc>
        <w:tc>
          <w:tcPr>
            <w:tcW w:w="2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846,417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1,135,602</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162,389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62"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in 2025 was RMB353.3 million (US$50.5 million), as compared to net loss of RMB39.4 million (US$5.6 million). The difference between net cash provided by operating activities and net loss was attributable to adjustments for certain non-cash expenses and net changes in working capital. Adjustments for non-cash expenses consisted principally of depreciation and amortization expenses of RMB111.0 million (US$15.9 million) and write-downs of inventories of RMB89.2 million (US$12.8 million). Changes in working capital accounts that affected operating cash flow consisted primarily of (i) an increase of RMB166.5 million (US$23.8 million) in accrued expenses and other current liabilities, (ii) an increase of RMB146.7 million (US$21.0 million) in advances from customers, (iii) a decrease of RMB101.3 million (US$14.5 million) in accounts receivable, partially offset by</w:t>
      </w:r>
    </w:p>
    <w:p>
      <w:pPr>
        <w:spacing w:after="0" w:line="3" w:lineRule="exact"/>
        <w:rPr>
          <w:sz w:val="20"/>
          <w:szCs w:val="20"/>
          <w:color w:val="auto"/>
        </w:rPr>
      </w:pPr>
    </w:p>
    <w:p>
      <w:pPr>
        <w:jc w:val="both"/>
        <w:ind w:right="40" w:firstLine="8"/>
        <w:spacing w:after="0" w:line="255" w:lineRule="auto"/>
        <w:tabs>
          <w:tab w:leader="none" w:pos="34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RMB89.5 million (US$12.8 million) in inventories, (v) an increase of RMB77.8 million (US$11.1 million) in prepayments and other current assets. The increase in accrued expenses and other current liabilities was primarily driven by an increase in refundable deposits received from franchised stores.</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in 2024 was RMB52.3 million, as compared to net loss of RMB193.2 million. The difference between net cash provided by operating activities and net loss was attributable to adjustments for certain non-cash expenses and net changes in working capital. Adjustments for non-cash expenses consisted principally of depreciation and amortization expenses of RMB122.1 million, write-downs of inventories of RMB30.0 million, and share-based compensation expenses of RMB24.2 million. Changes in working capital accounts that affected operating cash flow consisted primarily of (i) an increase of RMB423.0 million in accounts payable and notes payable, partially offset by (ii) an increase of RMB288.2 million in inventories, (iii) an increase of RMB58.8 million in prepayments and other current assets and (iv) an increase of RMB44.9 million in accounts receivable and notes receivable. The increase in accounts payable and notes payable was primarily due to enhanced efficiency of cash management.</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in 2023 was RMB93.7 million, as compared to net loss of RMB271.8 million. The difference between net cash provided by operating activities and net loss was attributable to adjustments for certain non-cash expenses and net changes in working capital. Adjustments for non-cash expenses consisted principally of depreciation and amortization expenses of RMB148.1 million, allowance for doubtful accounts of RMB139.4 million and share-based compensation expenses of RMB47.7 million. Changes in working capital accounts that affected operating cash flow consisted primarily of (i) a decrease of RMB65.4 million in accounts receivable and (ii) a decrease of RMB33.3 million in accounts payable and notes payable. The decrease in accounts receivable was primarily due to enhanced efficiency of cash management.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 2025 was RMB90.6 million (US$13.0 million), consisting primarily of cash paid for purchases of term deposits, short-term investments, and property, plant and equipment, partially offset by cash received from sale of short-term investments and withdrawal from term deposits.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 2024 was RMB292.4 million, consisting primarily of cash paid for purchases of term deposits, short-term investments, and property, plant and equipment, partially offset by cash received from sale of short-term investments and withdrawal from term deposits.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in 2023 was RMB216.3 million, consisting primarily of cash received from sale of short-term investments and withdrawal from term deposits, partially offset by cash paid for purchases of term deposits, short-term investments, and property, plant and equipment.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 2025 was RMB40.2 million (US$5.7 million), consisting primarily of proceeds from short-term bank borrowings, partially offset by repayments for short-term bank borrowings.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 2024 was RMB100.3 million, consisting primarily of proceeds from short-term bank borrowings, partially offset by repayments for short-term bank borrowings.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 2023 was RMB59.3 million, consisting primarily of repayments for short-term bank borrowings, partially offset by the proceeds from short-term bank borrowings and exercise of employee stock option.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material cash requirements as of December 31, 2025 and any subsequent interim period primarily include our capital expenditures, operating lease obligations and purchase obligations.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made capital expenditures of RMB78.9 million, RMB119.7 million and RMB177.8 million (US$25.4 million) in 2023, 2024 and 2025, respectively. Our capital expenditures for 2023, 2024 and 2025 represented cash paid for purchase of property, plant and equipment. We will continue to make such capital expenditures to support the expected growth of our business.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to fund our existing and future material cash requirements primarily with anticipated cash flows from operations, our existing cash balance and other financing alternatives.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any third parties. We have not entered into any off-balance sheet derivative instruments.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spacing w:after="0" w:line="143" w:lineRule="exact"/>
        <w:rPr>
          <w:sz w:val="20"/>
          <w:szCs w:val="20"/>
          <w:color w:val="auto"/>
        </w:rPr>
      </w:pPr>
    </w:p>
    <w:p>
      <w:pPr>
        <w:ind w:right="820"/>
        <w:spacing w:after="0" w:line="461" w:lineRule="auto"/>
        <w:rPr>
          <w:sz w:val="20"/>
          <w:szCs w:val="20"/>
          <w:color w:val="auto"/>
        </w:rPr>
      </w:pPr>
      <w:r>
        <w:rPr>
          <w:rFonts w:ascii="Times New Roman" w:cs="Times New Roman" w:eastAsia="Times New Roman" w:hAnsi="Times New Roman"/>
          <w:sz w:val="18"/>
          <w:szCs w:val="18"/>
          <w:color w:val="auto"/>
        </w:rPr>
        <w:t xml:space="preserve">We did not have any significant capital and other commitments, long-term obligations or guarantees as of December 31, 2025. </w:t>
      </w:r>
      <w:r>
        <w:rPr>
          <w:rFonts w:ascii="Times New Roman" w:cs="Times New Roman" w:eastAsia="Times New Roman" w:hAnsi="Times New Roman"/>
          <w:sz w:val="18"/>
          <w:szCs w:val="18"/>
          <w:b w:val="1"/>
          <w:bCs w:val="1"/>
          <w:color w:val="auto"/>
        </w:rPr>
        <w:t>Holding Company Structure</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company, Niu Technologies, is a holding company with no material operations of its own. We conduct operations in mainland China primarily through our subsidiaries and the VIE in mainland China. As a result, although other means are available for us to obtain financing at the holding company level, Niu Technologies’ ability to pay dividends depends upon dividends paid by our mainland China subsidiaries and license and service fees paid by the VIE in mainland China.</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any of our existing or newly formed mainland China subsidiaries incur debt on their own behalf in the future, the instruments governing their debt may restrict their ability to pay dividends to Niu Technologies. In addition, our WFOE is permitted to pay dividends to us only out of its retained earnings, if any, as determined in accordance with PRC accounting standards and regulations. Under the laws of mainland China, each of our WFOE and the VIE is required to set aside at least 10% of its after-tax profits each year, if any, to fund certain statutory reserve funds until such reserve funds reach 50% of its registered capital. In addition, our WFOE may allocate a portion of its after-tax profits based on PRC accounting standards to enterprise expansion funds and staff bonus and welfare funds at its discretion, and the VIE may allocate a portion of their after-tax profits based on PRC accounting standards to a discretionary surplus fund at its discretion. The statutory reserve funds and the discretionary funds are not distributable as cash dividends. Remittance of dividends by a wholly foreign-owned company out of mainland China is subject to examination by the banks designated by SAFE. Our WFOE has not paid dividends and will not be able to pay dividends until it generates accumulated profits and meets the requirements for statutory reserve funds.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Research and Development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 NIU Innovation Lab” and “—Intellectual Property.”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since January 1, 2026 that are reasonably likely to have a material and adverse effect on our revenues, income, profitability, liquidity or capital resources, or that would cause the disclosed financial information to be not necessarily indicative of future results of operations or financial conditions.</w:t>
      </w:r>
    </w:p>
    <w:p>
      <w:pPr>
        <w:spacing w:after="0" w:line="13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Critical Accounting Policies and Estimates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U.S. GAAP. The preparation of these financial statements requires our management to make judgments and estimates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1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we had not identified critical accounting estimates that involve a significant level of estimation uncertainty and would have a material impact on our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discuss recently adopted and issued accounting standards in Note 2, “Summary of Significant Accounting Policies—Recent Accounting Pronouncements” to our consolidated financial statements included elsewhere in this annual report.</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annual report.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2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7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210"/>
        </w:trPr>
        <w:tc>
          <w:tcPr>
            <w:tcW w:w="2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Yan Li</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60" w:type="dxa"/>
            <w:vAlign w:val="bottom"/>
            <w:tcBorders>
              <w:top w:val="single" w:sz="8" w:color="CCEEFF"/>
            </w:tcBorders>
            <w:shd w:val="clear" w:color="auto" w:fill="CCEEFF"/>
          </w:tcPr>
          <w:p>
            <w:pPr>
              <w:spacing w:after="0"/>
              <w:rPr>
                <w:sz w:val="18"/>
                <w:szCs w:val="18"/>
                <w:color w:val="auto"/>
              </w:rPr>
            </w:pPr>
          </w:p>
        </w:tc>
        <w:tc>
          <w:tcPr>
            <w:tcW w:w="58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of Directors and Chief Executive Officer</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Fion Wenjuan Zhou</w:t>
            </w:r>
          </w:p>
        </w:tc>
        <w:tc>
          <w:tcPr>
            <w:tcW w:w="2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6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and Chief Financial Officer</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Changqing Ye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3780" w:type="dxa"/>
            <w:vAlign w:val="bottom"/>
            <w:shd w:val="clear" w:color="auto" w:fill="CCEEFF"/>
          </w:tcPr>
          <w:p>
            <w:pPr>
              <w:spacing w:after="0"/>
              <w:rPr>
                <w:sz w:val="18"/>
                <w:szCs w:val="18"/>
                <w:color w:val="auto"/>
              </w:rPr>
            </w:pPr>
          </w:p>
        </w:tc>
      </w:tr>
      <w:tr>
        <w:trPr>
          <w:trHeight w:val="198"/>
        </w:trPr>
        <w:tc>
          <w:tcPr>
            <w:tcW w:w="2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Mei-Wei Cheng</w:t>
            </w:r>
          </w:p>
        </w:tc>
        <w:tc>
          <w:tcPr>
            <w:tcW w:w="280" w:type="dxa"/>
            <w:vAlign w:val="bottom"/>
          </w:tcPr>
          <w:p>
            <w:pPr>
              <w:spacing w:after="0"/>
              <w:rPr>
                <w:sz w:val="17"/>
                <w:szCs w:val="17"/>
                <w:color w:val="auto"/>
              </w:rPr>
            </w:pPr>
          </w:p>
        </w:tc>
        <w:tc>
          <w:tcPr>
            <w:tcW w:w="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76</w:t>
            </w:r>
          </w:p>
        </w:tc>
        <w:tc>
          <w:tcPr>
            <w:tcW w:w="160" w:type="dxa"/>
            <w:vAlign w:val="bottom"/>
          </w:tcPr>
          <w:p>
            <w:pPr>
              <w:spacing w:after="0"/>
              <w:rPr>
                <w:sz w:val="17"/>
                <w:szCs w:val="17"/>
                <w:color w:val="auto"/>
              </w:rPr>
            </w:pPr>
          </w:p>
        </w:tc>
        <w:tc>
          <w:tcPr>
            <w:tcW w:w="2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Independent Director</w:t>
            </w:r>
          </w:p>
        </w:tc>
        <w:tc>
          <w:tcPr>
            <w:tcW w:w="3780" w:type="dxa"/>
            <w:vAlign w:val="bottom"/>
          </w:tcPr>
          <w:p>
            <w:pPr>
              <w:spacing w:after="0"/>
              <w:rPr>
                <w:sz w:val="17"/>
                <w:szCs w:val="17"/>
                <w:color w:val="auto"/>
              </w:rPr>
            </w:pPr>
          </w:p>
        </w:tc>
      </w:t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John Jinshu Zhang</w:t>
            </w:r>
          </w:p>
        </w:tc>
        <w:tc>
          <w:tcPr>
            <w:tcW w:w="28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6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3780" w:type="dxa"/>
            <w:vAlign w:val="bottom"/>
          </w:tcPr>
          <w:p>
            <w:pPr>
              <w:spacing w:after="0"/>
              <w:rPr>
                <w:sz w:val="20"/>
                <w:szCs w:val="20"/>
                <w:color w:val="auto"/>
              </w:rPr>
            </w:pPr>
          </w:p>
        </w:tc>
      </w:tr>
    </w:tbl>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Dr. Yan Li </w:t>
      </w:r>
      <w:r>
        <w:rPr>
          <w:rFonts w:ascii="Times New Roman" w:cs="Times New Roman" w:eastAsia="Times New Roman" w:hAnsi="Times New Roman"/>
          <w:sz w:val="18"/>
          <w:szCs w:val="18"/>
          <w:color w:val="auto"/>
        </w:rPr>
        <w:t>has served as the chairman of our board of directors since March 2018, our chief executive officer since December 2017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chief operating officer since January 2016. Prior to joining our company in 2016, Dr. Li was a principal at KKR Capstone Limited from 2009 to 2015 and he oversaw KKR Capstone Limited’s portfolio operation in China, including Qingdao Haier Group, a home appliance manufacturer listed on the Shanghai Stock Exchange, China Modern Diary, a milk producer listed on the Hong Kong Stock Exchange, China Cord Blood Corporation, a provider of cord blood banking services in China listed on the New York Stock Exchange and United Envirotech, an environmental engineering and consulting solutions provider listed on the Singapore Stock Exchange. Dr. Li was awarded the Operational Excellence Award by Private Equity International in 2012. Prior to KKR Capstone Limited, Dr. Li worked for McKinsey &amp; Company from 2008 to 2009, where he advised various companies in high-tech, industrial goods and retail sectors. Prior to McKinsey, Dr. Li worked as a senior research engineer at Qualcomm Inc. in San Diego, CA from 2006 to 2008, focusing on the development of 3G and 4G communications technology. Dr. Li holds three patents on 3G communications. Dr. Li received a bachelor’s degree from the University of California at Berkeley in 2001 and a Ph.D. from Stanford University in 2005, both in electronics and electrical engineering.</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Ms. Fion Wenjuan Zhou </w:t>
      </w:r>
      <w:r>
        <w:rPr>
          <w:rFonts w:ascii="Times New Roman" w:cs="Times New Roman" w:eastAsia="Times New Roman" w:hAnsi="Times New Roman"/>
          <w:sz w:val="18"/>
          <w:szCs w:val="18"/>
          <w:color w:val="auto"/>
        </w:rPr>
        <w:t>has served as our director since December 2023 and our chief financial officer since November 2021. She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responsible for overseeing investor relations, strategic investment, finance, legal, internal controls and ESG compliance of our company. Prior to joining us, Ms. Zhou served as the chief financial officer of Sogou Inc. (NYSE: SOGO) from July 2020 to October 2021. Between 2015 and 2019, Ms. Zhou served as a finance director of Alibaba Group (NYSE: BABA) and as chief financial officer of Yidian Zixun, a leading mobile news aggregator in China. Prior to that, Ms. Zhou also held senior finance roles at Viadeo S.A. and Concord Medical Services Holdings Limited (NYSE: CCM). Ms. Zhou started her career as an auditor at PricewaterhouseCoopers Zhong Tian in 2006. Ms. Zhou received a bachelor’s degree in Financial Management from the University of International Business and Economics in 2006, an Executive MBA from HEC Paris in 2016, and another Executive MBA from Tsinghua University in 2024. Ms. Zhou is a member of the American Institute of Certified Public Accountants and a Chartered Global Management Accountant.</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Mr. Changqing </w:t>
      </w:r>
      <w:r>
        <w:rPr>
          <w:rFonts w:ascii="Times New Roman" w:cs="Times New Roman" w:eastAsia="Times New Roman" w:hAnsi="Times New Roman"/>
          <w:sz w:val="18"/>
          <w:szCs w:val="18"/>
          <w:color w:val="auto"/>
        </w:rPr>
        <w:t>Ye has served as our director since October 2018. He currently also serves as an independent director of Baozun Inc.,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listed on Nasdaq and on the Hong Kong Stock Exchange, Ascentage Pharma Group International, a company listed on the Hong Kong Stock Exchange and on Nasdaq, Jinxin Fertility Group Limited, a company listed on the Hong Kong Stock Exchange, Hygeia Healthcare Holdings Limited, a company listed on the Hong Kong Stock Exchange, and East Nova Holding Co., Ltd., a company listed on the Hong Kong Stock Exchange. He previously served as an independent director of VNET Group Inc., a company listed on Nasdaq, NWTN Inc., a company listed on Nasdaq, and Luzhou Bank, a company listed on the Hong Kong Stock Exchange. From February 2011 to December 2015, Mr. Ye served as an investment committee member and then group chief financial officer and managing director of CITIC PE Group. Prior to that, Mr. Ye worked at PricewaterhouseCoopers’ China and UK offices from July 1992 to January 2011. Mr. Ye received his bachelor’s degree in journalism from Huazhong University of Science and Technology in China in 1992 and an MBA from Warwick University in 1999. Mr. Ye is a certified public accountant in China.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Mr. Mei-Wei Cheng </w:t>
      </w:r>
      <w:r>
        <w:rPr>
          <w:rFonts w:ascii="Times New Roman" w:cs="Times New Roman" w:eastAsia="Times New Roman" w:hAnsi="Times New Roman"/>
          <w:sz w:val="18"/>
          <w:szCs w:val="18"/>
          <w:color w:val="auto"/>
        </w:rPr>
        <w:t>has served as our director since October 2018. Mr. Cheng currently also serves as a director and senior advisor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CEO of IndiGO Tech company. He previously served as a director of LEAR Corporation, and served as non-executive chairman of the board of directors of HCP Packaging and INTERPLEX Holdings, both portfolio companies of Baring Private Equity Asia. Mr. Cheng served as a member of the audit committee and finance committee of the board of directors of Seagate Technology, a company listed on Nasdaq, from 2013 to 2018. From 2010 to 2014, Mr. Cheng served as board member and audit committee member of Diebold Nixdorf, a company listed on NYSE. From February 2015 to January 2017, Mr. Cheng served as the chairman of the board of directors of Pactera Technology International Ltd., a portfolio company of Blackstone Group. From July 2010 to April 2014, Mr. Cheng was the chief executive officer of Siemens Northeast Asia and president and chief executive officer of Siemens China. Prior to joining Siemens, Mr. Cheng served as the chairman and chief executive officer of Ford Motor (China) Ltd. And as a corporate vice president of Ford Motor Company from 1998 to 2008 and as the executive chairman at Ford Motor Company (China) Ltd. And as a group vice president of Ford Motor Company from 2009 to 2010. Prior to joining Ford, Mr. Cheng held several executive positions at General Electric Corporation and AT&amp;T. Mr. Cheng received a bachelor’s degree in industrial engineering/operations research from Cornell University in 1972 and an MBA from Rutgers University in 1999.</w:t>
      </w:r>
    </w:p>
    <w:p>
      <w:pPr>
        <w:spacing w:after="0" w:line="1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John Jinshu Zhang </w:t>
      </w:r>
      <w:r>
        <w:rPr>
          <w:rFonts w:ascii="Times New Roman" w:cs="Times New Roman" w:eastAsia="Times New Roman" w:hAnsi="Times New Roman"/>
          <w:sz w:val="18"/>
          <w:szCs w:val="18"/>
          <w:color w:val="auto"/>
        </w:rPr>
        <w:t>has served as our director since October 2018. Mr. Zhang is currently general counsel of Blue California.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2000 to May 2021, Mr. Zhang was a partner at Dentons LLP, Edwards Wildman LLP, Reed Smith LLP, and Greenberg Traurig, LLP successively. Mr. Zhang worked as an associate of Jones Day LLP and Graham &amp; James, LLP from November 1993 to November 1999. Mr. Zhang received his bachelor’s degree in literature from Peking University in 1982, master’s degree in Asian studies from University of Hawaii at Manoa in 1989, master’s degree in intellectual history from University of California, Los Angeles in 1990 and Juris doctor degree from University of California, Berkeley in 1993.</w:t>
      </w:r>
    </w:p>
    <w:p>
      <w:pPr>
        <w:spacing w:after="0" w:line="14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Compensation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2025, we paid an aggregate of approximately RMB3.97 million (US$0.57 million) in cash to our executive officers, and approximately RMB1.05 million (US$0.15 million) in cash to our non-executive directors. We have not set aside or accrued any amount to provide pension, retirement or other similar benefits to our directors and executive officers.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2016, our shareholders and board of directors approved the 2016 Global Share Incentive Plan to attract and retain the best available personnel, provide additional incentives to employees, directors and consultants, and promote the success of our business. In March 2018, we amended the 2016 Global Share Incentive Plan, or the Amended and Restated 2016 Plan, so that the maximum aggregate number of ordinary shares that may be issued under the Amended and Restated 2016 Plan is 5,861,480 ordinary shares. As of December 31, 2025, options to purchase 1,025,040 ordinary shares and nil restricted share units had been granted and were outstanding under the Amended and Restated 2016 Plan, excluding options or restricted share units that were forfeited or canceled after the relevant grant dates.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September 2018, our shareholders and board of directors approved the 2018 Share Incentive Plan to promote the success and enhance the value of our company, which became effective immediately prior to the completion of our initial public offering. Under the 2018 Share Incentive Plan, or the 2018 Plan, the maximum aggregate number of ordinary shares available for issuance is initially 6,733,703 ordinary shares, which shall be increased by a number equal to 1.5% of the total number of our issued and outstanding ordinary shares on the last day of each of the immediately preceding fiscal year during the term of the 2018 Plan commencing with the fiscal year ended December 31, 2019, if determined and approved by the board of directors for the relevant fiscal year. Our board of directors has approved annual increases of 2,313,923, 2,326,755 and 2,337,681 ordinary shares for the years ended December 31, 2023, 2024 and 2025, representing 1.5% of total issued and outstanding shares as of December 31, 2022, 2023, and 2024, respectively, pursuant to the 2018 Plan. As of December 31, 2025, options to purchase 2,612,928 ordinary shares and 7,670,528 restricted share units had been granted and were outstanding under the 2018 Plan, excluding options or restricted share units that were forfeited or canceled after the relevant grant dates. The following paragraphs describe the principal terms of the Amended and Restated 2016 Plan and the 2018 Plan:</w:t>
      </w:r>
    </w:p>
    <w:p>
      <w:pPr>
        <w:spacing w:after="0" w:line="14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Type of Awards. </w:t>
      </w:r>
      <w:r>
        <w:rPr>
          <w:rFonts w:ascii="Times New Roman" w:cs="Times New Roman" w:eastAsia="Times New Roman" w:hAnsi="Times New Roman"/>
          <w:sz w:val="18"/>
          <w:szCs w:val="18"/>
          <w:color w:val="auto"/>
        </w:rPr>
        <w:t>The Amended and Restated 2016 plan permits the awards of options, restricted share units, restricted shares,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rights, dividend equivalents and share payments. The 2018 plan permits the awards of options, restricted shares, restricted share units or other types of awards approved by the board of directors or a committee of one or more members of the board of directors.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Our board of directors or a committee appointed by the board of directors will administer the plan. The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the board of directors, as applicable, will determine the participants to receive awards, the type and number of awards to be granted to each participant, and the terms and conditions of each grant.</w:t>
      </w:r>
    </w:p>
    <w:p>
      <w:pPr>
        <w:spacing w:after="0" w:line="1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 Agreement. </w:t>
      </w:r>
      <w:r>
        <w:rPr>
          <w:rFonts w:ascii="Times New Roman" w:cs="Times New Roman" w:eastAsia="Times New Roman" w:hAnsi="Times New Roman"/>
          <w:sz w:val="18"/>
          <w:szCs w:val="18"/>
          <w:color w:val="auto"/>
        </w:rPr>
        <w:t>Awards granted under the plan are evidenced by an award agreement that sets forth the terms, conditions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limitations for each award, which may include the term of the award, the provisions applicable in the event that the grantee’s employment or service terminates, and our authority to unilaterally or bilaterally amend, modify, suspend, cancel or rescind the award.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We may grant awards to our employees, consultants and directors.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Vesting Schedule. </w:t>
      </w:r>
      <w:r>
        <w:rPr>
          <w:rFonts w:ascii="Times New Roman" w:cs="Times New Roman" w:eastAsia="Times New Roman" w:hAnsi="Times New Roman"/>
          <w:sz w:val="18"/>
          <w:szCs w:val="18"/>
          <w:color w:val="auto"/>
        </w:rPr>
        <w:t>In general, the plan administrator determines the vesting schedule, which is specified in the relevant award agreement.</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Exercise of Options. </w:t>
      </w:r>
      <w:r>
        <w:rPr>
          <w:rFonts w:ascii="Times New Roman" w:cs="Times New Roman" w:eastAsia="Times New Roman" w:hAnsi="Times New Roman"/>
          <w:sz w:val="18"/>
          <w:szCs w:val="18"/>
          <w:color w:val="auto"/>
        </w:rPr>
        <w:t>The plan administrator determines the exercise price for each award, which is stated in the relevant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Options that are vested and exercisable will terminate if they are not exercised prior to the time as the plan administrator determines at the time of grant. However, the maximum exercisable term is ten years from the date of grant.</w:t>
      </w:r>
    </w:p>
    <w:p>
      <w:pPr>
        <w:spacing w:after="0" w:line="1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Awards may not be transferred in any manner by the participant other than in accordance with the exceptions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in the plan or the relevant award agreement or otherwise determined by the plan administrator, such as transfers by will or the laws of descent and distribution.</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Termination and Amendment of the Plan. </w:t>
      </w:r>
      <w:r>
        <w:rPr>
          <w:rFonts w:ascii="Times New Roman" w:cs="Times New Roman" w:eastAsia="Times New Roman" w:hAnsi="Times New Roman"/>
          <w:sz w:val="18"/>
          <w:szCs w:val="18"/>
          <w:color w:val="auto"/>
        </w:rPr>
        <w:t>Unless terminated earlier, the plan has a term of ten years. Our board of directors has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to terminate, amend, suspend or modify the plan in accordance with our articles of association. However, without the prior written consent of the participant, no such action may adversely affect in any material way any award previously granted pursuant to the plan.</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as of December 31, 2025, the options granted and outstanding under the Amended and Restated 2016 Plan and the 2018 Plan to our directors and executive officers and our other employees, excluding options that were forfeited or canceled after the relevant grant dates.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20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   Exercise</w:t>
            </w: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9"/>
        </w:trPr>
        <w:tc>
          <w:tcPr>
            <w:tcW w:w="3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1060" w:type="dxa"/>
            <w:vAlign w:val="bottom"/>
          </w:tcPr>
          <w:p>
            <w:pPr>
              <w:jc w:val="right"/>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14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0" w:type="dxa"/>
            <w:vAlign w:val="bottom"/>
          </w:tcPr>
          <w:p>
            <w:pPr>
              <w:spacing w:after="0"/>
              <w:rPr>
                <w:sz w:val="1"/>
                <w:szCs w:val="1"/>
                <w:color w:val="auto"/>
              </w:rPr>
            </w:pPr>
          </w:p>
        </w:tc>
      </w:tr>
      <w:tr>
        <w:trPr>
          <w:trHeight w:val="173"/>
        </w:trPr>
        <w:tc>
          <w:tcPr>
            <w:tcW w:w="34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(US$/Share)</w:t>
            </w:r>
          </w:p>
        </w:tc>
        <w:tc>
          <w:tcPr>
            <w:tcW w:w="14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Yan Li</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930,000</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4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1, 2019</w:t>
            </w:r>
          </w:p>
        </w:tc>
        <w:tc>
          <w:tcPr>
            <w:tcW w:w="14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31, 2029</w:t>
            </w:r>
          </w:p>
        </w:tc>
        <w:tc>
          <w:tcPr>
            <w:tcW w:w="0" w:type="dxa"/>
            <w:vAlign w:val="bottom"/>
          </w:tcPr>
          <w:p>
            <w:pPr>
              <w:spacing w:after="0"/>
              <w:rPr>
                <w:sz w:val="1"/>
                <w:szCs w:val="1"/>
                <w:color w:val="auto"/>
              </w:rPr>
            </w:pPr>
          </w:p>
        </w:tc>
      </w:tr>
      <w:tr>
        <w:trPr>
          <w:trHeight w:val="198"/>
        </w:trPr>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February 1, 2016~</w:t>
            </w:r>
          </w:p>
        </w:tc>
        <w:tc>
          <w:tcPr>
            <w:tcW w:w="140" w:type="dxa"/>
            <w:vAlign w:val="bottom"/>
          </w:tcPr>
          <w:p>
            <w:pPr>
              <w:spacing w:after="0"/>
              <w:rPr>
                <w:sz w:val="17"/>
                <w:szCs w:val="17"/>
                <w:color w:val="auto"/>
              </w:rPr>
            </w:pPr>
          </w:p>
        </w:tc>
        <w:tc>
          <w:tcPr>
            <w:tcW w:w="19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January 31, 2026~ July</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Other employees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2,707,968</w:t>
            </w:r>
          </w:p>
        </w:tc>
        <w:tc>
          <w:tcPr>
            <w:tcW w:w="14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 and 3.425</w:t>
            </w:r>
          </w:p>
        </w:tc>
        <w:tc>
          <w:tcPr>
            <w:tcW w:w="14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 2019</w:t>
            </w:r>
          </w:p>
        </w:tc>
        <w:tc>
          <w:tcPr>
            <w:tcW w:w="2080" w:type="dxa"/>
            <w:vAlign w:val="bottom"/>
            <w:gridSpan w:val="2"/>
          </w:tcPr>
          <w:p>
            <w:pPr>
              <w:jc w:val="center"/>
              <w:ind w:left="59"/>
              <w:spacing w:after="0"/>
              <w:rPr>
                <w:sz w:val="20"/>
                <w:szCs w:val="20"/>
                <w:color w:val="auto"/>
              </w:rPr>
            </w:pPr>
            <w:r>
              <w:rPr>
                <w:rFonts w:ascii="Times New Roman" w:cs="Times New Roman" w:eastAsia="Times New Roman" w:hAnsi="Times New Roman"/>
                <w:sz w:val="18"/>
                <w:szCs w:val="18"/>
                <w:color w:val="auto"/>
                <w:w w:val="98"/>
              </w:rPr>
              <w:t>31, 2029</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as of December 31, 2025, the restricted share units granted and outstanding under the Amended and Restated 2016 Plan and the 2018 Plan to our directors and executive officers and our other employees, excluding restricted share units that were forfeited or canceled after the relevant grant dates.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0" w:type="dxa"/>
            <w:vAlign w:val="bottom"/>
          </w:tcPr>
          <w:p>
            <w:pPr>
              <w:spacing w:after="0"/>
              <w:rPr>
                <w:sz w:val="1"/>
                <w:szCs w:val="1"/>
                <w:color w:val="auto"/>
              </w:rPr>
            </w:pPr>
          </w:p>
        </w:tc>
      </w:tr>
      <w:tr>
        <w:trPr>
          <w:trHeight w:val="148"/>
        </w:trPr>
        <w:tc>
          <w:tcPr>
            <w:tcW w:w="3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Share</w:t>
            </w:r>
          </w:p>
        </w:tc>
        <w:tc>
          <w:tcPr>
            <w:tcW w:w="140" w:type="dxa"/>
            <w:vAlign w:val="bottom"/>
          </w:tcPr>
          <w:p>
            <w:pPr>
              <w:spacing w:after="0"/>
              <w:rPr>
                <w:sz w:val="12"/>
                <w:szCs w:val="12"/>
                <w:color w:val="auto"/>
              </w:rPr>
            </w:pP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140" w:type="dxa"/>
            <w:vAlign w:val="bottom"/>
          </w:tcPr>
          <w:p>
            <w:pPr>
              <w:spacing w:after="0"/>
              <w:rPr>
                <w:sz w:val="12"/>
                <w:szCs w:val="12"/>
                <w:color w:val="auto"/>
              </w:rPr>
            </w:pPr>
          </w:p>
        </w:tc>
        <w:tc>
          <w:tcPr>
            <w:tcW w:w="2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Borders>
              <w:bottom w:val="single" w:sz="8" w:color="CCEEFF"/>
            </w:tcBorders>
          </w:tcPr>
          <w:p>
            <w:pPr>
              <w:spacing w:after="0"/>
              <w:rPr>
                <w:sz w:val="15"/>
                <w:szCs w:val="15"/>
                <w:color w:val="auto"/>
              </w:rPr>
            </w:pPr>
          </w:p>
        </w:tc>
        <w:tc>
          <w:tcPr>
            <w:tcW w:w="22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20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Yan Li</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4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10, 2025</w:t>
            </w:r>
          </w:p>
        </w:tc>
        <w:tc>
          <w:tcPr>
            <w:tcW w:w="14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Fion Wenjuan Zhou</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4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15, 2022</w:t>
            </w:r>
          </w:p>
        </w:tc>
        <w:tc>
          <w:tcPr>
            <w:tcW w:w="14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4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10, 2025</w:t>
            </w:r>
          </w:p>
        </w:tc>
        <w:tc>
          <w:tcPr>
            <w:tcW w:w="14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Changqing Ye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4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19, 2024</w:t>
            </w:r>
          </w:p>
        </w:tc>
        <w:tc>
          <w:tcPr>
            <w:tcW w:w="14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Mei-Wei Cheng</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4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19, 2024</w:t>
            </w:r>
          </w:p>
        </w:tc>
        <w:tc>
          <w:tcPr>
            <w:tcW w:w="14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John Jinshu Zhang</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4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19, 2024</w:t>
            </w:r>
          </w:p>
        </w:tc>
        <w:tc>
          <w:tcPr>
            <w:tcW w:w="14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employees</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5,660,528</w:t>
            </w:r>
          </w:p>
        </w:tc>
        <w:tc>
          <w:tcPr>
            <w:tcW w:w="14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15, 2022 ~ July 2, 2025</w:t>
            </w:r>
          </w:p>
        </w:tc>
        <w:tc>
          <w:tcPr>
            <w:tcW w:w="14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796"/>
        </w:trPr>
        <w:tc>
          <w:tcPr>
            <w:tcW w:w="394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8360" w:firstLine="8"/>
        <w:spacing w:after="0" w:line="456" w:lineRule="auto"/>
        <w:tabs>
          <w:tab w:leader="none" w:pos="324"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 Board of Directors</w:t>
      </w: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of directors consists of five directors. A director is not required to hold any shares in our company by way of qualification. A director who is in any way, whether directly or indirectly, interested in a contract or transaction or proposed contract or transaction with our company is required to declare the nature of his interest at a meeting of our directors. Subject to the Nasdaq Global Market rules and disqualification by the chairman of the relevant board meeting, a director may vote in respect of any contract or transaction or proposed contract or transaction notwithstanding that he may be interested therein, and if he does so his vote shall be counted and he shall be counted in the quorum at any meeting of our directors at which any such contract or transaction or proposed contract or transaction is considered. Our directors may exercise all the powers of our company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our company or of any third party. None of our non-executive directors has a service contract with us that provides for benefits upon termination of service.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spacing w:after="0" w:line="1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Audit Committee. </w:t>
      </w:r>
      <w:r>
        <w:rPr>
          <w:rFonts w:ascii="Times New Roman" w:cs="Times New Roman" w:eastAsia="Times New Roman" w:hAnsi="Times New Roman"/>
          <w:sz w:val="18"/>
          <w:szCs w:val="18"/>
          <w:color w:val="auto"/>
        </w:rPr>
        <w:t>Our audit committee consists of Mr. Changqing Ye, Mr. John Jinshu Zhang and Mr. Mei-Wei Cheng. Mr. Changqing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 is the chairman of our audit committee. We have determined that Mr. Changqing Ye, Mr. John Jinshu Zhang and Mr. Mei-Wei Cheng satisfy the “independence” requirements of Rule 5605 of the Nasdaq Stock Market Rules and Rule 10A-3 under the Exchange Act. We have determined that Mr. Changqing Ye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44" w:lineRule="exact"/>
        <w:rPr>
          <w:sz w:val="20"/>
          <w:szCs w:val="20"/>
          <w:color w:val="auto"/>
        </w:rPr>
      </w:pPr>
    </w:p>
    <w:p>
      <w:pPr>
        <w:ind w:left="680" w:hanging="321"/>
        <w:spacing w:after="0" w:line="282"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184"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 and</w:t>
      </w:r>
    </w:p>
    <w:p>
      <w:pPr>
        <w:spacing w:after="0" w:line="184"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Compensation Committee. </w:t>
      </w:r>
      <w:r>
        <w:rPr>
          <w:rFonts w:ascii="Times New Roman" w:cs="Times New Roman" w:eastAsia="Times New Roman" w:hAnsi="Times New Roman"/>
          <w:sz w:val="18"/>
          <w:szCs w:val="18"/>
          <w:color w:val="auto"/>
        </w:rPr>
        <w:t>Our compensation committee consists of Mr. John Jinshu Zhang and Mr. Changqing Ye. Mr. John Jinshu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Zhang is the chairman of our compensation committee. We have determined that Mr. John Jinshu Zhang and Mr. Changqing Ye satisfy the “independence” requirements of Rule 5605 of the Nasdaq Stock Market Rules.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144" w:lineRule="exact"/>
        <w:rPr>
          <w:sz w:val="20"/>
          <w:szCs w:val="20"/>
          <w:color w:val="auto"/>
        </w:rPr>
      </w:pPr>
    </w:p>
    <w:p>
      <w:pPr>
        <w:ind w:left="680" w:hanging="321"/>
        <w:spacing w:after="0" w:line="282"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its approval, the compensation for our chief executive officer and other executive officers;</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determination with respect to the compensation of our non-employee directors;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incentive compensation or equity plans, programs or similar arrangements; and</w:t>
      </w:r>
    </w:p>
    <w:p>
      <w:pPr>
        <w:spacing w:after="0" w:line="184"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consultant, legal counsel or other adviser only after taking into consideration all factors relevant to that person’s independence from management.</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Nominating and Corporate Governance Committee. </w:t>
      </w:r>
      <w:r>
        <w:rPr>
          <w:rFonts w:ascii="Times New Roman" w:cs="Times New Roman" w:eastAsia="Times New Roman" w:hAnsi="Times New Roman"/>
          <w:sz w:val="18"/>
          <w:szCs w:val="18"/>
          <w:color w:val="auto"/>
        </w:rPr>
        <w:t>Our nominating and corporate governance committee consists of Mr. John Jinshu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Zhang, Mr. Changqing Ye and Mr. Mei-Wei Cheng. Mr. John Jinshu Zhang is the chairperson of our nominating and corporate governance committee. We have determined that Mr. John Jinshu Zhang, Mr. Changqing Ye and Mr. Mei-Wei Cheng satisfy the “independence” requirements of Rule 5605 of the Nasdaq Stock Market Rules. The nominating and corporate governance committee assists the board of directors in selecting individuals qualified to become our directors and in determining the composition of the board and its committees. The nominating and corporate governance committee will be responsible for, among other things:</w:t>
      </w:r>
    </w:p>
    <w:p>
      <w:pPr>
        <w:spacing w:after="0" w:line="157" w:lineRule="exact"/>
        <w:rPr>
          <w:sz w:val="20"/>
          <w:szCs w:val="20"/>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nominees for election by the shareholders or appointment by the board;</w:t>
      </w:r>
    </w:p>
    <w:p>
      <w:pPr>
        <w:spacing w:after="0" w:line="184"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knowledge, skills, experience and diversity;</w:t>
      </w:r>
    </w:p>
    <w:p>
      <w:pPr>
        <w:spacing w:after="0" w:line="12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 and</w:t>
      </w:r>
    </w:p>
    <w:p>
      <w:pPr>
        <w:spacing w:after="0" w:line="134"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have a duty to exercise skills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 an objective standard with regard to the required skill and care and these authorities are likely to be followed in the Cayman Islands. In fulfilling their duty of care to us, our directors must ensure compliance with our sixth amended and restated memorandum and articles of association, as amended and restated from time to time, and the class rights vested thereunder in the holders of the shares. In certain limited exceptional circumstances, a shareholder may have the right to seek damages in our name if a duty owed by our directors is breached.</w:t>
      </w:r>
    </w:p>
    <w:p>
      <w:pPr>
        <w:spacing w:after="0" w:line="1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 The functions and powers of our board of directors include, among others:</w:t>
      </w:r>
    </w:p>
    <w:p>
      <w:pPr>
        <w:spacing w:after="0" w:line="121" w:lineRule="exact"/>
        <w:rPr>
          <w:sz w:val="20"/>
          <w:szCs w:val="20"/>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and extraordinary general meetings and reporting its work to shareholders at such meetings;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our share register.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directors may be appointed by an ordinary resolution of our shareholders. Alternatively, our board of directors may, by the affirmative vote of a simple majority of the directors present and voting at a board meeting appoint any person as a director to fill a casual vacancy on our board or as an addition to the existing board. Our directors may be appointed on terms that the Director shall automatically retire from office (unless he has sooner vacated office) at the next or a subsequent annual general meeting or upon any specified event or after any specified period in a written agreement between our company and the Director, if any; but no such term shall be implied in the absence of express provision and our Directors hold office until such time as they are removed from office by an ordinary resolution of our shareholders (or where they have sooner vacated office). In addition, a director will cease to be a director if he</w:t>
      </w:r>
    </w:p>
    <w:p>
      <w:pPr>
        <w:spacing w:after="0" w:line="3" w:lineRule="exact"/>
        <w:rPr>
          <w:sz w:val="20"/>
          <w:szCs w:val="20"/>
          <w:color w:val="auto"/>
        </w:rPr>
      </w:pPr>
    </w:p>
    <w:p>
      <w:pPr>
        <w:jc w:val="both"/>
        <w:ind w:firstLine="8"/>
        <w:spacing w:after="0" w:line="253" w:lineRule="auto"/>
        <w:tabs>
          <w:tab w:leader="none" w:pos="23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articles of association.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officers are appointed by and serve at the discretion of the board of directors, and may be removed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Under these agreements, each of our executive officers is employed for a specified time period. We may terminate employment for cause, at any time, for certain acts of the executive officer, such as continued failure to satisfactorily perform, willful misconduct or gross negligence in the performance of agreed duties, conviction or entry of a guilty or nolo contendere plea of any felony or any misdemeanor involving moral turpitude, or dishonest act that results in material to our detriment or material of the employment agreement. We may also terminate an executive officer’s employment without cause upon 60-day advance written notice. In such case of termination by us, we will provide severance payments to the executive officer as may be agreed between the executive officer and us. The executive officer may resign at any time with a 60-day advance written notice.</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each executive officer has agreed to be bound by non-competition and non-solicitation restrictions during the term of his or her employment and typically for one year following the last date of employment. Specifically, each executive officer has agreed not to</w:t>
      </w:r>
    </w:p>
    <w:p>
      <w:pPr>
        <w:jc w:val="both"/>
        <w:ind w:firstLine="8"/>
        <w:spacing w:after="0" w:line="252" w:lineRule="auto"/>
        <w:tabs>
          <w:tab w:leader="none" w:pos="21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from any customer doing business with us during the effective term of the employment agreement business of the same or of a similar nature to our business; (ii) solicit from any of our known potential customer business of the same or of a similar nature to that which has been the subject of our known written or oral bid, offer or proposal, or of substantial preparation with a view to making such a bid, proposal or offer; (iii) solicit the employment or services of, or hire or engage, any person who is known to be employed or engaged by us; or (iv) otherwise interfere with our business or accounts, including, but not limited to, with respect to any relationship or agreement between any vendor or supplier and us.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Employees</w:t>
      </w:r>
    </w:p>
    <w:p>
      <w:pPr>
        <w:spacing w:after="0" w:line="20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December 31, 2025, we had 671 full-time employees. We had a total of 550 employees as of December 31, 2023 and 642 employees as of December 31, 2024, respectively. The following table sets forth the numbers of our employees categorized by function as of December 31,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80" w:type="dxa"/>
            <w:vAlign w:val="bottom"/>
          </w:tcPr>
          <w:p>
            <w:pPr>
              <w:spacing w:after="0"/>
              <w:rPr>
                <w:sz w:val="14"/>
                <w:szCs w:val="14"/>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spacing w:after="0"/>
              <w:rPr>
                <w:sz w:val="14"/>
                <w:szCs w:val="14"/>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73"/>
        </w:trPr>
        <w:tc>
          <w:tcPr>
            <w:tcW w:w="7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Employees</w:t>
            </w: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Supply chain management and general administration</w:t>
            </w:r>
          </w:p>
        </w:tc>
        <w:tc>
          <w:tcPr>
            <w:tcW w:w="2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09"/>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number of employees</w:t>
            </w:r>
          </w:p>
        </w:tc>
        <w:tc>
          <w:tcPr>
            <w:tcW w:w="2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671</w:t>
            </w:r>
          </w:p>
        </w:tc>
        <w:tc>
          <w:tcPr>
            <w:tcW w:w="2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7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substantial majority of the personnel in our manufacturing facility, mainly the personnel working on the assembly and production lines, are outsourced from third parties, and are not our employees.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success depends on our ability to attract, retain and motivate qualified employees that share our values and vision. We offer employees competitive salaries, which are potentially adjusted twice a year based on the employee’s performance. We believe that we maintain a good working relationship with our employees.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regulations of mainland China, we are required to participate in and make contributions to housing funds and various employee social security plans that are organized by applicable local municipal and provincial governments, including pension, medical, work-related injury and unemployment benefit plans. See “Item 3. Key Information— D. Risks Related to Doing Business in China— Failure to make adequate contributions to various employee benefit plans as required by the regulations of mainland China may subject us to penalties.”</w:t>
      </w:r>
    </w:p>
    <w:p>
      <w:pPr>
        <w:spacing w:after="0" w:line="13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Share Ownership</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specifically noted, the following table sets forth information with respect to the beneficial ownership of our ordinary shares as of February 28, 2026 by:</w:t>
      </w:r>
    </w:p>
    <w:p>
      <w:pPr>
        <w:spacing w:after="0" w:line="121" w:lineRule="exact"/>
        <w:rPr>
          <w:sz w:val="20"/>
          <w:szCs w:val="20"/>
          <w:color w:val="auto"/>
        </w:rPr>
      </w:pPr>
    </w:p>
    <w:p>
      <w:pPr>
        <w:ind w:left="680" w:hanging="32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principal shareholders who beneficially own more than 5% of our total outstanding shares on an as-converted basis.</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calculations in the table below are based on 156,872,176 ordinary shares, consisting of 141,650,156 Class A ordinary shares and 15,222,020 Class B ordinary shares, as of February 28, 2026.</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Ordinary Shares Beneficially Owned</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980" w:type="dxa"/>
            <w:vAlign w:val="bottom"/>
          </w:tcPr>
          <w:p>
            <w:pPr>
              <w:ind w:left="860"/>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11"/>
                <w:szCs w:val="11"/>
                <w:color w:val="auto"/>
              </w:rPr>
            </w:pPr>
          </w:p>
        </w:tc>
        <w:tc>
          <w:tcPr>
            <w:tcW w:w="120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6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60" w:type="dxa"/>
            <w:vAlign w:val="bottom"/>
          </w:tcPr>
          <w:p>
            <w:pPr>
              <w:spacing w:after="0"/>
              <w:rPr>
                <w:sz w:val="12"/>
                <w:szCs w:val="12"/>
                <w:color w:val="auto"/>
              </w:rPr>
            </w:pPr>
          </w:p>
        </w:tc>
        <w:tc>
          <w:tcPr>
            <w:tcW w:w="10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80" w:type="dxa"/>
            <w:vAlign w:val="bottom"/>
          </w:tcPr>
          <w:p>
            <w:pPr>
              <w:spacing w:after="0"/>
              <w:rPr>
                <w:sz w:val="12"/>
                <w:szCs w:val="12"/>
                <w:color w:val="auto"/>
              </w:rPr>
            </w:pPr>
          </w:p>
        </w:tc>
        <w:tc>
          <w:tcPr>
            <w:tcW w:w="10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voting</w:t>
            </w: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6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10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8"/>
              </w:rPr>
              <w:t>power</w:t>
            </w:r>
            <w:r>
              <w:rPr>
                <w:rFonts w:ascii="Times New Roman" w:cs="Times New Roman" w:eastAsia="Times New Roman" w:hAnsi="Times New Roman"/>
                <w:sz w:val="20"/>
                <w:szCs w:val="20"/>
                <w:b w:val="1"/>
                <w:bCs w:val="1"/>
                <w:color w:val="auto"/>
                <w:w w:val="98"/>
                <w:vertAlign w:val="superscript"/>
              </w:rPr>
              <w:t>**</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9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Yan Li</w:t>
            </w:r>
            <w:r>
              <w:rPr>
                <w:rFonts w:ascii="Times New Roman" w:cs="Times New Roman" w:eastAsia="Times New Roman" w:hAnsi="Times New Roman"/>
                <w:sz w:val="25"/>
                <w:szCs w:val="25"/>
                <w:color w:val="auto"/>
                <w:vertAlign w:val="superscript"/>
              </w:rPr>
              <w:t>(1)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1,515,000</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6,615,000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Fion Wenjuan Zhou</w:t>
            </w:r>
            <w:r>
              <w:rPr>
                <w:rFonts w:ascii="Times New Roman" w:cs="Times New Roman" w:eastAsia="Times New Roman" w:hAnsi="Times New Roman"/>
                <w:sz w:val="25"/>
                <w:szCs w:val="25"/>
                <w:color w:val="auto"/>
                <w:vertAlign w:val="superscript"/>
              </w:rPr>
              <w:t>(2)</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Changqing Ye</w:t>
            </w:r>
            <w:r>
              <w:rPr>
                <w:rFonts w:ascii="Times New Roman" w:cs="Times New Roman" w:eastAsia="Times New Roman" w:hAnsi="Times New Roman"/>
                <w:sz w:val="25"/>
                <w:szCs w:val="25"/>
                <w:color w:val="auto"/>
                <w:vertAlign w:val="superscript"/>
              </w:rPr>
              <w:t>(3)</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Mei-Wei Cheng</w:t>
            </w:r>
            <w:r>
              <w:rPr>
                <w:rFonts w:ascii="Times New Roman" w:cs="Times New Roman" w:eastAsia="Times New Roman" w:hAnsi="Times New Roman"/>
                <w:sz w:val="25"/>
                <w:szCs w:val="25"/>
                <w:color w:val="auto"/>
                <w:vertAlign w:val="superscript"/>
              </w:rPr>
              <w:t>(4)</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John Jinshu Zhang</w:t>
            </w:r>
            <w:r>
              <w:rPr>
                <w:rFonts w:ascii="Times New Roman" w:cs="Times New Roman" w:eastAsia="Times New Roman" w:hAnsi="Times New Roman"/>
                <w:sz w:val="25"/>
                <w:szCs w:val="25"/>
                <w:color w:val="auto"/>
                <w:vertAlign w:val="superscript"/>
              </w:rPr>
              <w:t>(5)</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2,091,568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Glory Achievement Fund Limited</w:t>
            </w:r>
            <w:r>
              <w:rPr>
                <w:rFonts w:ascii="Times New Roman" w:cs="Times New Roman" w:eastAsia="Times New Roman" w:hAnsi="Times New Roman"/>
                <w:sz w:val="25"/>
                <w:szCs w:val="25"/>
                <w:color w:val="auto"/>
                <w:vertAlign w:val="superscript"/>
              </w:rPr>
              <w:t>(6)</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60,243,535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Niu Holding Inc.</w:t>
            </w:r>
            <w:r>
              <w:rPr>
                <w:rFonts w:ascii="Times New Roman" w:cs="Times New Roman" w:eastAsia="Times New Roman" w:hAnsi="Times New Roman"/>
                <w:sz w:val="26"/>
                <w:szCs w:val="26"/>
                <w:color w:val="auto"/>
                <w:vertAlign w:val="superscript"/>
              </w:rPr>
              <w:t>(7)</w:t>
            </w:r>
          </w:p>
        </w:tc>
        <w:tc>
          <w:tcPr>
            <w:tcW w:w="9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8,607,020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15684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204" w:lineRule="exact"/>
        <w:rPr>
          <w:sz w:val="20"/>
          <w:szCs w:val="20"/>
          <w:color w:val="auto"/>
        </w:rPr>
      </w:pPr>
    </w:p>
    <w:p>
      <w:pPr>
        <w:jc w:val="both"/>
        <w:ind w:left="340" w:right="40" w:hanging="332"/>
        <w:spacing w:after="0" w:line="236" w:lineRule="auto"/>
        <w:tabs>
          <w:tab w:leader="none" w:pos="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address of Yan Li and Fion Wenjuan Zhou is 23/F, Building C, Rongxin Technology Center, No. 34 Chuangyuan Road, Chaoyang District, Beijing 100020, People’s Republic of China. The business address of Mr. Changqing Ye is Flat B, 36/F, Harbour Green, 8 Sham Mong Road, Tai Kok Tsui, Kowloon, Hong Kong. The business address of Mr. Mei-Wei Cheng is 1202 Building 10, Green Court, 777 Biyun Road, Pudong, Shanghai, 201206, People’s Republic of China. The business address of Mr. John Jinshu Zhang is 749 Via del Monte, Palos Verdes Estates, California 90274, the United States of America.</w:t>
      </w:r>
    </w:p>
    <w:p>
      <w:pPr>
        <w:spacing w:after="0" w:line="136" w:lineRule="exact"/>
        <w:rPr>
          <w:sz w:val="20"/>
          <w:szCs w:val="20"/>
          <w:color w:val="auto"/>
        </w:rPr>
      </w:pPr>
    </w:p>
    <w:p>
      <w:pPr>
        <w:jc w:val="both"/>
        <w:ind w:left="340" w:right="40" w:hanging="332"/>
        <w:spacing w:after="0" w:line="236" w:lineRule="auto"/>
        <w:tabs>
          <w:tab w:leader="none" w:pos="3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person or group included in this column, percentage of total voting power represents voting power based on both Class A and Class B ordinary shares held by such person or group with respect to all outstanding shares of our Class A and Class B ordinary shares as a single class. Each holder of our Class A ordinary shares is entitled to one vote per share. Each holder of our Class B ordinary shares is entitled to four votes per share. Our Class B ordinary shares are convertible at any time by the holder into Class A ordinary shares on a one-for-one basis.</w:t>
      </w:r>
    </w:p>
    <w:p>
      <w:pPr>
        <w:spacing w:after="0" w:line="136" w:lineRule="exact"/>
        <w:rPr>
          <w:sz w:val="20"/>
          <w:szCs w:val="20"/>
          <w:color w:val="auto"/>
        </w:rPr>
      </w:pPr>
    </w:p>
    <w:p>
      <w:pPr>
        <w:jc w:val="both"/>
        <w:ind w:left="340" w:right="40" w:hanging="323"/>
        <w:spacing w:after="0"/>
        <w:tabs>
          <w:tab w:leader="none" w:pos="320" w:val="left"/>
        </w:tabs>
        <w:rPr>
          <w:sz w:val="20"/>
          <w:szCs w:val="20"/>
          <w:color w:val="auto"/>
        </w:rPr>
      </w:pPr>
      <w:r>
        <w:rPr>
          <w:rFonts w:ascii="Times New Roman" w:cs="Times New Roman" w:eastAsia="Times New Roman" w:hAnsi="Times New Roman"/>
          <w:sz w:val="14"/>
          <w:szCs w:val="14"/>
          <w:color w:val="auto"/>
        </w:rPr>
        <w:t>(1).</w:t>
        <w:tab/>
        <w:t>Represents (i) 585,000 Class A ordinary shares held in the form of ADSs held by Dr. Yan Li in the brokerage account of the administrator of our employee stock option program, (ii) 930,000 Class A ordinary shares issuable to Dr. Yan Li upon exercise of share options within 60 days of February 28, 2026, and (iii) 6,615,000 Class B ordinary shares held by ELLY Holdings Limited. ELLY Holdings Limited is a company incorporated in the British Virgin Islands, with 38.41% of its interest held directly by Dr. Yan Li, 30.65% of its interest held by Yearly Holdings Limited, a trust vehicle established by Dr. Yan Li, and the remaining 30.94% of its interest held by Anelly Holdings Limited, a trust vehicle established by Dr. Yan Li’s spouse. ELLY Holdings Limited is beneficially and wholly owned by Dr. Yan Li and his spouse. The registered address of ELLY Holdings Limited is Vistra Corporate Services Centre, Wickhams Cay II, Road Town, Tortola, British Virgin Islands VG1110.</w:t>
      </w:r>
    </w:p>
    <w:p>
      <w:pPr>
        <w:spacing w:after="0" w:line="249" w:lineRule="exact"/>
        <w:rPr>
          <w:sz w:val="20"/>
          <w:szCs w:val="20"/>
          <w:color w:val="auto"/>
        </w:rPr>
      </w:pPr>
    </w:p>
    <w:p>
      <w:pPr>
        <w:jc w:val="both"/>
        <w:ind w:left="340" w:right="60" w:hanging="323"/>
        <w:spacing w:after="0" w:line="241" w:lineRule="auto"/>
        <w:tabs>
          <w:tab w:leader="none" w:pos="320" w:val="left"/>
        </w:tabs>
        <w:rPr>
          <w:sz w:val="20"/>
          <w:szCs w:val="20"/>
          <w:color w:val="auto"/>
        </w:rPr>
      </w:pPr>
      <w:r>
        <w:rPr>
          <w:rFonts w:ascii="Times New Roman" w:cs="Times New Roman" w:eastAsia="Times New Roman" w:hAnsi="Times New Roman"/>
          <w:sz w:val="14"/>
          <w:szCs w:val="14"/>
          <w:color w:val="auto"/>
        </w:rPr>
        <w:t>(2).</w:t>
        <w:tab/>
        <w:t>Represents (i) 238,568 Class A ordinary shares held in the form of ADSs held by Ms. Fion Wenjuan Zhou in the brokerage account of the administrator of our employee stock option program, and (ii) 90,000 Class A ordinary shares issuable to Ms. Fion Wenjuan Zhou upon vesting of restricted share units within 60 days of February 28, 2026.</w:t>
      </w:r>
    </w:p>
    <w:p>
      <w:pPr>
        <w:spacing w:after="0" w:line="136" w:lineRule="exact"/>
        <w:rPr>
          <w:sz w:val="20"/>
          <w:szCs w:val="20"/>
          <w:color w:val="auto"/>
        </w:rPr>
      </w:pPr>
    </w:p>
    <w:p>
      <w:pPr>
        <w:jc w:val="both"/>
        <w:ind w:left="340" w:right="40" w:hanging="323"/>
        <w:spacing w:after="0" w:line="261" w:lineRule="auto"/>
        <w:tabs>
          <w:tab w:leader="none" w:pos="320" w:val="left"/>
        </w:tabs>
        <w:rPr>
          <w:sz w:val="20"/>
          <w:szCs w:val="20"/>
          <w:color w:val="auto"/>
        </w:rPr>
      </w:pPr>
      <w:r>
        <w:rPr>
          <w:rFonts w:ascii="Times New Roman" w:cs="Times New Roman" w:eastAsia="Times New Roman" w:hAnsi="Times New Roman"/>
          <w:sz w:val="14"/>
          <w:szCs w:val="14"/>
          <w:color w:val="auto"/>
        </w:rPr>
        <w:t>(3).</w:t>
        <w:tab/>
        <w:t>Represents 100,000 Class A ordinary shares held in the form of ADSs held by Mr. Changqing Ye in the brokerage account of the administrator of our employee stock option program.</w:t>
      </w:r>
    </w:p>
    <w:p>
      <w:pPr>
        <w:spacing w:after="0" w:line="122" w:lineRule="exact"/>
        <w:rPr>
          <w:sz w:val="20"/>
          <w:szCs w:val="20"/>
          <w:color w:val="auto"/>
        </w:rPr>
      </w:pPr>
    </w:p>
    <w:p>
      <w:pPr>
        <w:jc w:val="both"/>
        <w:ind w:left="340" w:right="40" w:hanging="323"/>
        <w:spacing w:after="0" w:line="261" w:lineRule="auto"/>
        <w:tabs>
          <w:tab w:leader="none" w:pos="320" w:val="left"/>
        </w:tabs>
        <w:rPr>
          <w:sz w:val="20"/>
          <w:szCs w:val="20"/>
          <w:color w:val="auto"/>
        </w:rPr>
      </w:pPr>
      <w:r>
        <w:rPr>
          <w:rFonts w:ascii="Times New Roman" w:cs="Times New Roman" w:eastAsia="Times New Roman" w:hAnsi="Times New Roman"/>
          <w:sz w:val="14"/>
          <w:szCs w:val="14"/>
          <w:color w:val="auto"/>
        </w:rPr>
        <w:t>(4).</w:t>
        <w:tab/>
        <w:t>Represents 40,000 Class A ordinary shares held in the form of ADSs held by Mr. Mei-Wei Cheng in the brokerage account of the administrator of our employee stock option program.</w:t>
      </w:r>
    </w:p>
    <w:p>
      <w:pPr>
        <w:spacing w:after="0" w:line="122" w:lineRule="exact"/>
        <w:rPr>
          <w:sz w:val="20"/>
          <w:szCs w:val="20"/>
          <w:color w:val="auto"/>
        </w:rPr>
      </w:pPr>
    </w:p>
    <w:p>
      <w:pPr>
        <w:jc w:val="both"/>
        <w:ind w:left="340" w:right="40" w:hanging="323"/>
        <w:spacing w:after="0" w:line="261" w:lineRule="auto"/>
        <w:tabs>
          <w:tab w:leader="none" w:pos="320" w:val="left"/>
        </w:tabs>
        <w:rPr>
          <w:sz w:val="20"/>
          <w:szCs w:val="20"/>
          <w:color w:val="auto"/>
        </w:rPr>
      </w:pPr>
      <w:r>
        <w:rPr>
          <w:rFonts w:ascii="Times New Roman" w:cs="Times New Roman" w:eastAsia="Times New Roman" w:hAnsi="Times New Roman"/>
          <w:sz w:val="14"/>
          <w:szCs w:val="14"/>
          <w:color w:val="auto"/>
        </w:rPr>
        <w:t>(5).</w:t>
        <w:tab/>
        <w:t>Represents 108,000 Class A ordinary shares held in the form of ADSs held by Mr. John Jinshu Zhang in the brokerage account of the administrator of our employee stock option program.</w:t>
      </w:r>
    </w:p>
    <w:p>
      <w:pPr>
        <w:spacing w:after="0" w:line="122" w:lineRule="exact"/>
        <w:rPr>
          <w:sz w:val="20"/>
          <w:szCs w:val="20"/>
          <w:color w:val="auto"/>
        </w:rPr>
      </w:pPr>
    </w:p>
    <w:p>
      <w:pPr>
        <w:jc w:val="both"/>
        <w:ind w:left="340" w:right="40" w:hanging="323"/>
        <w:spacing w:after="0"/>
        <w:tabs>
          <w:tab w:leader="none" w:pos="320" w:val="left"/>
        </w:tabs>
        <w:rPr>
          <w:sz w:val="20"/>
          <w:szCs w:val="20"/>
          <w:color w:val="auto"/>
        </w:rPr>
      </w:pPr>
      <w:r>
        <w:rPr>
          <w:rFonts w:ascii="Times New Roman" w:cs="Times New Roman" w:eastAsia="Times New Roman" w:hAnsi="Times New Roman"/>
          <w:sz w:val="14"/>
          <w:szCs w:val="14"/>
          <w:color w:val="auto"/>
        </w:rPr>
        <w:t>(6).</w:t>
        <w:tab/>
        <w:t>Represents 60,243,535 Class A ordinary shares held by Glory Achievement Fund Limited, a Cayman Islands company. Glory Achievement Fund Limited is wholly owned by Bull Group Limited, a Cayman Islands company. Bull Group Limited is wholly owned by BULL TRUST, which has Mr. Yi’nan Li as the beneficiary and is administered by an independent trustee and initially by three individual protectors unrelated to Mr. Li. Any decision making with respect to the voting or disposal of the shares held by Glory Achievement Fund Limited in the Issuer or other dealings in the Issuer’s securities is subject to approval by the protectors. Mr. Yi’nan Li will be able to replace the protectors with persons appointed by himself in August 2028 or when the trust beneficially owns, through Glory Achievement Fund Limited or otherwise, no more than 10% of the outstanding shares of the Issuer on an as-converted basis. The registered address of Glory Achievement Fund Limited is P.O. Box 2075, George Town, Grand Cayman KY1-1105, Cayman Islands. The above information is based on the Schedule 13D/A jointly filed by (i) Glory Achievement Fund Limited, (ii) Bull Group Limited and (iii) BULL TRUST on March 12, 2026, and assumes that Glory Achievement Fund Limited’s shareholding has not change since March 12, 2026.</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340" w:hanging="323"/>
        <w:spacing w:after="0" w:line="229" w:lineRule="auto"/>
        <w:tabs>
          <w:tab w:leader="none" w:pos="320" w:val="left"/>
        </w:tabs>
        <w:rPr>
          <w:sz w:val="20"/>
          <w:szCs w:val="20"/>
          <w:color w:val="auto"/>
        </w:rPr>
      </w:pPr>
      <w:r>
        <w:rPr>
          <w:rFonts w:ascii="Times New Roman" w:cs="Times New Roman" w:eastAsia="Times New Roman" w:hAnsi="Times New Roman"/>
          <w:sz w:val="14"/>
          <w:szCs w:val="14"/>
          <w:color w:val="auto"/>
        </w:rPr>
        <w:t>(7).</w:t>
        <w:tab/>
        <w:t>Represents 8,607,020 Class B ordinary shares held by Niu Holding Inc., a BVI business company, which is wholly owned by LUCK GENIE HOLDINGS LIMITED, a BVI business company. LUCK GENIE HOLDINGS LIMITED is wholly owned by Legend Champ Investment Limited, a BVI business company. Legend Champ Investment Limited is wholly owned by Token Who Cares Trust. The settlor and beneficiary of Token Who Cares Trust is Mr. Token Yilin Hu, who is our former director. The registered address of Niu Holding Inc. is Vistra Corporate Services Centre, Wickhams Cay II, Road Town, Tortola, British Virgin Islands VG1110. The above information is based on the Schedule 13G/A jointly filed by (i) Niu Holding Inc., (ii) LUCK GENIE HOLDINGS LIMITED, (iii) Legend Champ Investment Limited, (iv) Token Who Cares Trust and (v) Token Yilin Hu on February 9, 2023, as well as our knowledge to Niu Holding Inc.’s latest shareholding as of February 28, 2026.</w:t>
      </w:r>
    </w:p>
    <w:p>
      <w:pPr>
        <w:spacing w:after="0" w:line="3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our knowledge, as of February 28, 2026, a total of 105,865,280 Class A ordinary shares were held by three record holders in the United States, representing approximately 67.5% of our total outstanding shares on an as-converted basis. One of these record holders is Citibank, N.A., the depositary of our ADS program. None of our outstanding Class B ordinary shares were held by record holders in the United States as of February 28, 2026. The number of beneficial owners of our ADSs in the United States is likely to be much larger than the number of record holders of our ordinary shares in the United States. We are not aware of any arrangement that may, at a subsequent date, result in a change of control of our company.</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ordinary shares are divided into Class A ordinary shares and Class B ordinary shares. Holders of Class A ordinary shares are entitled to one vote per share, while holders of Class B ordinary shares are entitled to four votes per share. Holders of Class A and Class B ordinary shares vote together as one class on all matters subject to a shareholders’ vote. Each Class B ordinary share is convertible into one Class A ordinary share at any time by the holder thereof, while Class A ordinary shares are not convertible into Class B ordinary shares under any circumstance. See “Item 10.B. Additional Information—Memorandum and Articles of Association” for a more detailed description of our Class A ordinary shares and Class B ordinary shares.</w:t>
      </w:r>
    </w:p>
    <w:p>
      <w:pPr>
        <w:spacing w:after="0" w:line="156"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Registrant’s Action to Recover Erroneously Awarded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“Item 6. Directors, Senior Management and Employees— E. Share Ownership.”</w:t>
      </w:r>
    </w:p>
    <w:p>
      <w:pPr>
        <w:spacing w:after="0" w:line="18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the VIE and Its Shareholders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4. Information on the Company—C. Organizational Structure—Contractual Arrangements with the VIE.”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Options and Restricted Shares Grants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“Item 6. Directors, Senior Management and Employees— B. Compensation.”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Consolidated Statements and Other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appended consolidated financial statements filed as part of this annual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currently not a party to any material legal or administrative proceedings. We may from time to time be subject to various legal or administrative claims and proceedings arising in the ordinary course of business. Litigation or any other legal or administrative proceeding, regardless of the outcome, is likely to result in substantial cost and diversion of our resources, including our management’s time and attention.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of directors has discretion on whether to distribute dividends, subject to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share premium, and always that in no circumstances may a dividend be paid if this would result in our company being unable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any present plan to pay any cash dividends on our ordinary shares in the foreseeable future. We currently intend to retain most, if not all, of our available funds and any future earnings to operate and expand our business.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company is a holding company incorporated in the Cayman Islands. We may rely on dividends from our subsidiaries in mainland China for our cash requirements, including any payment of dividends to our shareholders. Regulations of mainland China may restrict the ability of our mainland China subsidiaries to pay dividends to us. See “Item 4. Information on the Company—B. Business Overview —Regulations—Regulations Relating to Dividend Distribution.”</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pay any dividends on our ordinary shares, we will pay those dividends which are payable in respect of the Class A ordinary shares underlying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 Cash dividends on our ordinary shares, if any, will be paid in U.S. dollars.</w:t>
      </w:r>
    </w:p>
    <w:p>
      <w:pPr>
        <w:spacing w:after="0" w:line="13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Significant Changes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Offering and Listing Details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ADSs, each representing two Class A ordinary shares, have been listed on The Nasdaq Global Market since October 19, 2018 under the symbol “NIU”.</w:t>
      </w:r>
    </w:p>
    <w:p>
      <w:pPr>
        <w:spacing w:after="0" w:line="11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Plan of Distribution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Markets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ADSs have been listed on the Nasdaq Global Market since October 19, 2018 under the symbol “NIU”.</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Selling Shareholders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Dilution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the Issue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Memorandum and Articles of Association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are summaries of material provisions of our currently effective sixth amended and restated memorandum and articles of association, as well as the Companies Act (As Revised) insofar as they relate to the material terms of our ordinary shares. The information set forth in Exhibits 2.5 and 2.6 to this annual report on Form 20-F is incorporated herein by reference.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Office and Objects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registered office in the Cayman Islands is located at the offices of Maples Corporate Services Limited at PO Box 309, Ugland House, Grand Cayman, KY1-1104, Cayman Islands. The objects for which our company is established are unrestricted and we have the full power and authority to carry out any object not prohibited by the laws of the Cayman Islands.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6. Directors, Senior Management and Employees— C. Board Practices—Board of Directors.”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Ordinary Shares. </w:t>
      </w:r>
      <w:r>
        <w:rPr>
          <w:rFonts w:ascii="Times New Roman" w:cs="Times New Roman" w:eastAsia="Times New Roman" w:hAnsi="Times New Roman"/>
          <w:sz w:val="18"/>
          <w:szCs w:val="18"/>
          <w:color w:val="auto"/>
        </w:rPr>
        <w:t>Our ordinary shares are divided into Class A ordinary shares and Class B ordinary shares. Holders of our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and Class B ordinary shares will have the same rights except for voting and conversion rights. Each Class A ordinary share shall entitle the holder thereof to one vote on all matters subject to vote at our general meetings, and each Class B ordinary share shall entitle the holder thereof to four votes on all matters subject to vote at our general meetings. Our ordinary shares are issued in registered form and are issued when registered in our register of members. We may not issue shares to bearer. Our shareholders who are non-residents of the Cayman Islands may freely hold and vote their shares.</w:t>
      </w:r>
    </w:p>
    <w:p>
      <w:pPr>
        <w:spacing w:after="0" w:line="1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Each Class B ordinary share is convertible into one Class A ordinary share at any time by the holder thereof.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are not convertible into Class B ordinary shares under any circumstances. Any number of Class B ordinary shares held by a holder thereof will be automatically and immediately converted into an equal number of Class A ordinary shares upon the occurrence of (i) any direct or indirect sale, transfer, assignment or disposition of such number of Class B ordinary shares by the holder thereof or the direct or indirect transfer or assignment of the voting power attached to such number of Class B ordinary shares through voting proxy or otherwise to any person that is not an affiliate of such holder or (ii) the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B ordinary shares that is an entity to any person that is not an affiliate of such holder.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Our directors may from time to time declare dividends (including interim dividends) and other distributions on our shares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 and authorize payment of the same out of the funds of our company lawfully available therefor. In addition, our shareholders may declare dividends by ordinary resolution, but no dividend shall exceed the amount recommended by our directors. Our memorandum and articles of association provide that dividends may be declared and paid out of the funds of our company lawfully available therefor. Under the laws of the Cayman Islands, our company may pay a dividend out of either profits or share premium account; provided that in no circumstances may a dividend be paid if this would result in our company being unable to pay its debts as they fall due in the ordinary course of business.</w:t>
      </w:r>
    </w:p>
    <w:p>
      <w:pPr>
        <w:spacing w:after="0" w:line="1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our Class A ordinary shares and our Class B ordinary shares shall, at all times, vote together as one class on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matters submitted to a vote by our shareholders at any general meeting of our company. Each Class A ordinary share shall be entitled to one vote, and each Class B ordinary share shall be entitled to four votes, on all matters subject to a vote at general meetings of our company. Voting at any meeting of shareholders is by show of hands unless a poll (before or on the declaration of the result of the show of hands) is demanded. A poll may be demanded by the chairman of such meeting or any one shareholder holding not less than 10% of the votes attaching to the shares present in person or by proxy.</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issued and outstanding ordinary shares at a meeting. A special resolution will be required for important matters such as a change of name or making changes to our memorandum and articles of association. Our shareholders may, among other things, divide or combine their shares by ordinary resolution.</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Meetings of Shareholders. </w:t>
      </w:r>
      <w:r>
        <w:rPr>
          <w:rFonts w:ascii="Times New Roman" w:cs="Times New Roman" w:eastAsia="Times New Roman" w:hAnsi="Times New Roman"/>
          <w:sz w:val="18"/>
          <w:szCs w:val="18"/>
          <w:color w:val="auto"/>
        </w:rPr>
        <w:t>As a Cayman Islands exempted company, we are not obliged by the Companies Act to call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annual general meetings. Our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Shareholders’ general meetings may be convened by the chairman of our board of directors or by our directors (acting by a resolution of our board). Advance notice of at least seven calendar days is required for the convening of our annual general shareholders’ meeting (if any) and any other general meeting of our shareholders. A quorum required for any general meeting of shareholders consists of, at the time when the meeting proceeds to business, one or more of our shareholders holding shares which carry in aggregate (or representing by proxy) not less than one-third of all votes attaching to all of our shares in issue and entitled to vote at such general meeting.</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any one or more of our shareholders holding shares which carry in aggregate not less than one-third of all votes attaching to all issued and outstanding shares of our company entitled to vote at general meetings, our board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of Ordinary Shares. </w:t>
      </w:r>
      <w:r>
        <w:rPr>
          <w:rFonts w:ascii="Times New Roman" w:cs="Times New Roman" w:eastAsia="Times New Roman" w:hAnsi="Times New Roman"/>
          <w:sz w:val="18"/>
          <w:szCs w:val="18"/>
          <w:color w:val="auto"/>
        </w:rPr>
        <w:t>Subject to the restrictions set out below, any of our shareholders may transfer all or any of his or 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by an instrument of transfer in the usual or common form or any other form approved by our board of directors.</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21" w:lineRule="exact"/>
        <w:rPr>
          <w:sz w:val="20"/>
          <w:szCs w:val="20"/>
          <w:color w:val="auto"/>
        </w:rPr>
      </w:pPr>
    </w:p>
    <w:p>
      <w:pPr>
        <w:ind w:left="680" w:right="20" w:hanging="321"/>
        <w:spacing w:after="0" w:line="282" w:lineRule="auto"/>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ordinary shares;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84"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82"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Global Market may determine to be payable or such lesser sum as our directors may from time to time require is paid to us in respect thereof.</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registration of transfers may, on ten calendar days’ notice being given by advertisement in such one or more newspapers, by electronic means or by any other means in accordance with the rules of the Nasdaq Global Market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On the winding up of our company, if the assets available for distribution amongst our shareholders shall be more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such the assets will be distributed so that, as nearly as may be, the losses are home by our shareholders in proportion to the par value of the shares held by them.</w:t>
      </w:r>
    </w:p>
    <w:p>
      <w:pPr>
        <w:spacing w:after="0" w:line="14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Calls on Shares and Forfeiture of Shares. </w:t>
      </w:r>
      <w:r>
        <w:rPr>
          <w:rFonts w:ascii="Times New Roman" w:cs="Times New Roman" w:eastAsia="Times New Roman" w:hAnsi="Times New Roman"/>
          <w:sz w:val="18"/>
          <w:szCs w:val="18"/>
          <w:color w:val="auto"/>
        </w:rPr>
        <w:t>Our board of directors may from time to time make calls upon shareholders for any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unpaid on their shares in a notice served to such shareholders at least 14 days prior to the specified time and place of payment. The shares that have been called upon and remain unpaid are subject to forfeiture.</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Redemption, Repurchase and Surrender of Shares. </w:t>
      </w:r>
      <w:r>
        <w:rPr>
          <w:rFonts w:ascii="Times New Roman" w:cs="Times New Roman" w:eastAsia="Times New Roman" w:hAnsi="Times New Roman"/>
          <w:sz w:val="18"/>
          <w:szCs w:val="18"/>
          <w:color w:val="auto"/>
        </w:rPr>
        <w:t>We may issue shares on terms that such shares are subject to redemption, at our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at the option of the holders of these shares, on such terms and in such manner as may be determined, before the issue of such shares, by our board of directors or by our shareholders by special resolution.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Variations of Rights of Shares. </w:t>
      </w:r>
      <w:r>
        <w:rPr>
          <w:rFonts w:ascii="Times New Roman" w:cs="Times New Roman" w:eastAsia="Times New Roman" w:hAnsi="Times New Roman"/>
          <w:sz w:val="18"/>
          <w:szCs w:val="18"/>
          <w:color w:val="auto"/>
        </w:rPr>
        <w:t>Whenever the capital of our company is divided into different classes the rights attached to any such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may, subject to any rights or restrictions for the time being attached to any class, only be materially adversely varied with the consent in writing of the holders of all of the issued shares of that class or with the sanction of an ordinary resolution passed at a separate meeting of the holders of the shares of that class. The rights conferred upon the holders of the shares of any class issued with preferred or other rights shall not, subject to any rights or restrictions for the time being attached to the shares of that class, be deemed to be materially adversely varied by the creation, allotment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subsequent to them or the redemption or purchase of any shares of any class by our company.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14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Issuance of Additional Shares. </w:t>
      </w:r>
      <w:r>
        <w:rPr>
          <w:rFonts w:ascii="Times New Roman" w:cs="Times New Roman" w:eastAsia="Times New Roman" w:hAnsi="Times New Roman"/>
          <w:sz w:val="18"/>
          <w:szCs w:val="18"/>
          <w:color w:val="auto"/>
        </w:rPr>
        <w:t>Our memorandum of association authorizes our board of directors to issue additional ordinary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as our board of directors shall determine, to the extent of available authorized but unissued shares.</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memorandum of association also authorizes our board of directors to establish from time to time one or more series of preference shares and to determine, with respect to any series of preference shares, the terms and rights of that series, including:</w:t>
      </w:r>
    </w:p>
    <w:p>
      <w:pPr>
        <w:spacing w:after="0" w:line="135" w:lineRule="exact"/>
        <w:rPr>
          <w:sz w:val="20"/>
          <w:szCs w:val="20"/>
          <w:color w:val="auto"/>
        </w:rPr>
      </w:pPr>
    </w:p>
    <w:p>
      <w:pPr>
        <w:ind w:left="680" w:hanging="321"/>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preference shares without action by our shareholders to the extent authorized but unissued. Issuance of these shares may dilute the voting power of holders of ordinary shares.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will have no general right under Cayman Islands law to inspect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 copies of our list of shareholders or our corporate records (save for our memorandum and articles of association, our register of mortgages and charges and special resolutions of our shareholders). However, we intend to provide our shareholders with our annual audited financial statements.</w:t>
      </w:r>
    </w:p>
    <w:p>
      <w:pPr>
        <w:spacing w:after="0" w:line="13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Anti-Takeover Provisions. </w:t>
      </w:r>
      <w:r>
        <w:rPr>
          <w:rFonts w:ascii="Times New Roman" w:cs="Times New Roman" w:eastAsia="Times New Roman" w:hAnsi="Times New Roman"/>
          <w:sz w:val="18"/>
          <w:szCs w:val="18"/>
          <w:color w:val="auto"/>
        </w:rPr>
        <w:t>Some provisions of our memorandum and articles of association may discourage, delay or prevent a 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of our company or management that shareholders may consider favorable, including provisions that:</w:t>
      </w:r>
    </w:p>
    <w:p>
      <w:pPr>
        <w:spacing w:after="0" w:line="133" w:lineRule="exact"/>
        <w:rPr>
          <w:sz w:val="20"/>
          <w:szCs w:val="20"/>
          <w:color w:val="auto"/>
        </w:rPr>
      </w:pPr>
    </w:p>
    <w:p>
      <w:pPr>
        <w:ind w:left="680" w:hanging="321"/>
        <w:spacing w:after="0" w:line="282" w:lineRule="auto"/>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Exempted Company. </w:t>
      </w:r>
      <w:r>
        <w:rPr>
          <w:rFonts w:ascii="Times New Roman" w:cs="Times New Roman" w:eastAsia="Times New Roman" w:hAnsi="Times New Roman"/>
          <w:sz w:val="18"/>
          <w:szCs w:val="18"/>
          <w:color w:val="auto"/>
        </w:rPr>
        <w:t>We are an exempted company with limited liability under the Companies Act. The Companies Act distinguishes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41" w:lineRule="exact"/>
        <w:rPr>
          <w:sz w:val="20"/>
          <w:szCs w:val="20"/>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shares with no par value;</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given for up to 30 years);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Companies Act (As Revised) is derived, to a large extent, from the older Companies Acts of England but does not follow recent United Kingdom statutory enactments, and accordingly there are significant differences between the Companies Act (As Revised) and the current Companies Act of England.</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Companies Act (As Revised) differs from laws applicable to United States corporations and their shareholders. Set forth below is a summary of certain significant differences between the provisions of the Companies Act (As Revised) applicable to us and the laws applicable to United States corporations and companies incorporated in the State of Delaware.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Mergers and Similar Arrangements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Companies Act (As Revised) permits mergers and consolidations between Cayman Islands companies and between Cayman Islands companies and non-Cayman Islands companies. For these purposes, (1) “merger” means the merging of two or more constituent companies and the vesting of their undertaking, property and liabilities in one of such companies as the surviving company and (2) a “consolidation” means the combination of two or more constituent companies into a consolidated company and the vesting of the undertaking, property and liabilities of such companies in the consolidated company.</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to effect such a merger or consolidation, the directors of each constituent company must approve a written plan of merger or consolidation, which must then be authorized by (1) a special resolution of the shareholders of each constituent company, and (2)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(As Revised) also contains statutory provisions that facilitate the reconstruction and amalgamation of companies by way of schemes of arrangement,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151" w:lineRule="exact"/>
        <w:rPr>
          <w:sz w:val="20"/>
          <w:szCs w:val="20"/>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84"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34"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Companies Act (As Revised) also contains a statutory power of compulsory acquisition which may facilitate the “squeeze out” of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Shareholders’ Suits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our company to challenge actions where:</w:t>
      </w:r>
    </w:p>
    <w:p>
      <w:pPr>
        <w:spacing w:after="0" w:line="143" w:lineRule="exact"/>
        <w:rPr>
          <w:sz w:val="20"/>
          <w:szCs w:val="20"/>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is ultra vires or illegal and is therefore incapable of ratification by the shareholders;</w:t>
      </w:r>
    </w:p>
    <w:p>
      <w:pPr>
        <w:spacing w:after="0" w:line="184"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constitute a fraud against the minority where the wrongdoer are themselves in control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of Directors and Executive Officers and Limitation of Liability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memorandum and articles of association permit indemnification of officers and directors for losses, damages, costs and expenses incurred in their capacities as such unless such losses or damages arise from dishonesty or fraud of such directors or officers. This standard of conduct is generally the same as permitted under the Delaware General Corporation Law for a Delaware corporation.</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memorandum and articles of association.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Directors’ Fiduciary Duties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duty of loyalty requires that a director acts in a manner he or she reasonably believes to be in the best interests of the corporation. He or she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or she owes the following duties to the company:</w:t>
      </w:r>
    </w:p>
    <w:p>
      <w:pPr>
        <w:spacing w:after="0" w:line="121" w:lineRule="exact"/>
        <w:rPr>
          <w:sz w:val="20"/>
          <w:szCs w:val="20"/>
          <w:color w:val="auto"/>
        </w:rPr>
      </w:pPr>
    </w:p>
    <w:p>
      <w:pPr>
        <w:ind w:left="680" w:hanging="321"/>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to act in good faith in the best interests of the company,</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not to make a personal profit based on his or her position as director (unless the company permits him or her to do so),</w:t>
      </w:r>
    </w:p>
    <w:p>
      <w:pPr>
        <w:spacing w:after="0" w:line="184"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not to put himself or herself in a position where the interests of the company conflict with his or her personal interest or his or her duty to a third party, and</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to exercise powers for the purpose for which such powers were intended.</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director of a Cayman Islands company owes to the company a duty of care, diligence and skill.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Action by Written Consent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eliminate the right of shareholders to act by written consent by amendment to its certificate of incorporation. Cayman Islands law and our currently effective memorandum and articles of association provide that our shareholders may approve corporate matters by way of a unanimous written resolution signed by or on behalf of all shareholders who would have been entitled to vote on such matter at a general meeting without a meeting being held.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Proposals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Companies Act (As Revised) does not provide shareholders with an express right to put forth any proposal before a general meeting of the shareholders. However, the Companies Act (As Revised) may provide shareholders with limited rights to requisition a general meeting but such rights must be stipulated in the articles of association of the company.</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memorandum and articles of association provide that upon the requisition of any one or more of our shareholders holding shares which carry in aggregate not less than one-third of all votes attaching to all issued and outstanding shares of our company entitled to vote at general meetings, our board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Cumulative Voting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prohibitions relating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Delaware General Corporation Law, a director of a corporation with a classified board may be removed only for cause with the approval of a majority of the issued and outstanding shares entitled to vote, unless the certificate of incorporation provides otherwise. Under our memorandum and articles of association, directors may be removed with or without cause, by an ordinary resolution of our shareholders at any time before the expiration of his term of office notwithstanding anything in our memorandum and articles of association or in any agreement between our company and such director (but without prejudice to any claim for damages under any such agreement).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Interested Shareholders</w:t>
      </w:r>
    </w:p>
    <w:p>
      <w:pPr>
        <w:spacing w:after="0" w:line="18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statute has the effect of limiting the ability of a potential acquirer to make a two-tiered bid for the target in which all shareholders would not be treated equally. The statute does not apply if,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purpose and not with the effect of constituting a fraud on the minority shareholders.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company may present a petition to the Grand Court of the Cayman Islands for the appointment of a restructuring officer on the grounds that the company:</w:t>
      </w:r>
    </w:p>
    <w:p>
      <w:pPr>
        <w:spacing w:after="0" w:line="135" w:lineRule="exact"/>
        <w:rPr>
          <w:sz w:val="20"/>
          <w:szCs w:val="20"/>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is likely to become unable to pay its debts; and</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intends to present a compromise or arrangement to its creditors (or classes thereof) either pursuant to the Companies Act, the law of a foreign country or by way of a consensual restructuring.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Dissolution; Winding Up</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Variation of Rights of Shares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 the approval of a majority of the outstanding shares of such class, unless the certificate of incorporation provides otherwise. Under our memorandum and articles of association, if our share capital is divided into more than one class of shares, we may only materially and adversely vary the rights attached to any class with the consent in writing of the holders of all of the issued shares of that class or with the sanction of an ordinary resolution passed at a separate meeting of the holders of the shares of that class.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Governing Documents</w:t>
      </w:r>
    </w:p>
    <w:p>
      <w:pPr>
        <w:spacing w:after="0" w:line="2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unless the certificate of incorporation provides otherwise.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Cayman Islands law, our memorandum and articles of association may only be amended with a special resolution of our shareholders.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of Non-resident or Foreign Shareholders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limitations imposed by our memorandum and articles of association on the rights of non-resident or foreign shareholders to hold or exercise voting rights on our shares.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there are no provisions in our memorandum and articles of association governing the ownership threshold above which shareholder ownership must be disclosed.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Inspection of Books and Records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any shareholder of a corporation may for any proper purpose inspect or make copies of the corporation’s stock ledger, list of shareholders and other books and records.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 under Cayman Islands law to inspect corporate records (other than the memorandum and articles of association, the register of mortgages and charges and any special resolutions passed by our shareholders) or obtain copies of the list of shareholders of these companies. Under Cayman Islands law, the names of our current directors can be obtained from a search conducted at the Registrar of Companies. However, we intend to provide our shareholders with annual reports containing audited financial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“Item 4. Information on the Company,” “Item 7. Major Shareholders and Related Party Transactions—B. Related Party Transactions,” or elsewhere in this annual report on Form 20-F.</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Overview—Regulations—Regulations Relating to Foreign Exchange.”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Taxation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summary of the material Cayman Islands, mainland China and U.S. federal income tax consequences of an investment in the ADSs or ordinary shares is based upon laws and relevant interpretations thereof in effect as of the date of this annual report, all of which are subject to change. This summary does not deal with all possible tax consequences relating to an investment in the ADSs or ordinary shares, such as the tax consequences under U.S. state and local tax laws or under the tax laws of jurisdictions other than the Cayman Islands, mainland China and the United States.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holders of our ADSs or ordinary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our ordinary shares and ADSs will not be subject to taxation in the Cayman Islands and no withholding will be required on the payment of a dividend or capital to any holder of our ordinary shares or the ADSs, nor will gains derived from the disposal of our ordinary shares or the ADSs be subject to Cayman Islands income or corporation tax.</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Mainland China Taxation</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mainland China with a “de facto management body” within mainland China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 personnel, accounts and properties of an enterprise. In April 2009, the State Administration of Taxation issued a circular, known as Circular 82, which provides certain specific criteria for determining whether the “de facto management body” of a mainland China-controlled enterprise that is incorporated offshore is located in mainland China. Although this circular only applies to offshore enterprises controlled by mainland China enterprises or mainland China enterprise groups, not those controlled by mainland China individuals or foreigners,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mainland China enterprise or a mainland China enterprise group will be regarded as a mainland China tax resident by virtue of having its “de facto management body” in mainland China only if all of the following conditions are met: (i) the primary location of the day-to-day operational management is in mainland China; (ii) decisions relating to the enterprise’s financial and human resource matters are made or are subject to approval by organizations or personnel in mainland China; (iii) the enterprise’s primary assets, accounting books and records, company seals and board and shareholder resolutions are located or maintained in mainland China; and (iv) at least 50% of voting board members or senior executives habitually reside in mainland China.</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Niu Technologies is not a mainland China resident enterprise for mainland China tax purposes. Niu Technologies is not controlled by a mainland China enterprise or mainland China enterprise group and we do not believe that Niu Technologies meets all of the conditions above. Niu Technologies is a company incorporated outside of mainland China. As a holding company, its key assets are its ownership interests in its subsidiaries, and its key assets are located, and its records (including the resolutions of its board of directors and the resolutions of its shareholders) are maintained, outside of mainland China. For the same reasons, we believe our other entities outside of mainland China are not mainland China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PRC tax authorities determine that Niu Technologies is a mainland China resident enterprise for enterprise income tax purposes, we may be required to withhold a 10% withholding tax from dividends we pay to our shareholders that are non-resident enterprises, including the holders of the ADSs. In addition, non-resident enterprise shareholders (including the ADS holders) may be subject to a 10% mainland China tax on gains realized on the sale or other disposition of ADSs or ordinary shares, if such income is treated as sourced from within mainland China. It is unclear whether our non-mainland China individual shareholders (including the ADS holders) would be subject to any mainland China tax on dividends or gains obtained by such non-mainland China individual shareholders in the event we are determined to be a mainland China resident enterprise. If any mainland China tax were to apply to such dividends or gains, it would generally apply at a rate of 20% unless a reduced rate is available under an applicable tax treaty. It is also unclear whether non-mainland China shareholders of Niu Technologies would be able to claim the benefits of any tax treaties between their country of tax residence and mainland China in the event that Niu Technologies is treated as a mainland China resident enterprise.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Provided that our Cayman Islands holding company, Niu Technologies, is not deemed to be a mainland China resident enterprise, holders of the ADSs and ordinary shares who are not mainland China residents will not be subject to mainland China income tax on dividends distributed by us or gains realized from the sale or other disposition of our shares or ADSs. However, under SAT Public Notice 7 and SAT Bulletin 37, where a non-resident enterprise conducts an “indirect transfer” by transferring taxable assets, including, in particular, equity interests in a mainland China resident enterprise, indirectly by disposing of the equity interests of an overseas holding company, the non-resident enterprise, being the transferor, or the transferee or the mainland China entity which directly owned such taxable assets may report to the tax authority such indirect transfer. Using a “substance over form” principle, the PRC tax authority may disregard the existence of the overseas holding company if it lacks a reasonable commercial purpose and was established for the purpose of reducing, avoiding or deferring mainland China tax. As a result, gains derived from such indirect transfer may be subject to mainland China enterprise income tax, and the transferee or other person who is obligated to pay for the transfer is obligated to withhold the applicable taxes, currently at a rate of 10% for the transfer of equity interests in a mainland China resident enterprise. We and our non-mainland China resident investors may be at risk of being required to file a return and being taxed under SAT Public Notice 7 and SAT Bulletin 37, and we may be required to expend valuable resources to comply with SAT Public Notice 7 and SAT Bulletin 37, or to establish that we should not be taxed under these circulars. See “Item 3. Key Information— D. Risk Factors—Risks Related to Doing Business in China— We face uncertainty with respect to indirect transfers of equity interests in mainland China resident enterprises by their non-mainland China holding companies.”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the ADSs or ordinary shares by a U.S. Holder (as defined below) that holds the ADSs or ordinary shares as “capital assets”(generally, property held for investment) under Section 1221 of the U.S. Internal Revenue Code of 1986, as amended (the “Code”), and the Treasury Regulations promulgated thereunder. This discussion is based upon existing U.S. federal tax law, which is subject to differing interpretations or change, possibly with retroactive effect. There can be no assurance that the U.S. Internal Revenue Service (the “IRS”) or a court will not take a contrary position. This discussion, moreover, does not address the U.S. federal estate, gift, Medicare and any minimum tax considerations, or any state, local and non-U.S. tax considerations, relating to the ownership or disposition of the ADSs or ordinary shares. The following summary does not address all aspects of U.S. federal income taxation that may be important to particular investors in light of their individual circumstances or to persons in special tax situations such as:</w:t>
      </w:r>
    </w:p>
    <w:p>
      <w:pPr>
        <w:spacing w:after="0" w:line="161" w:lineRule="exact"/>
        <w:rPr>
          <w:sz w:val="20"/>
          <w:szCs w:val="20"/>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use a mark-to-market method of accounting;</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acquire their ADSs or ordinary shares pursuant to any employee share option or otherwise as compensation;</w:t>
      </w:r>
    </w:p>
    <w:p>
      <w:pPr>
        <w:spacing w:after="0" w:line="184"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will hold their ADSs or ordinary shares as part of a straddle, hedge, conversion, constructive sale or other integrated transaction for U.S. federal income tax purposes;</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have a functional currency other than the U.S. dollar;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our stock (by vote or value); or</w:t>
      </w:r>
    </w:p>
    <w:p>
      <w:pPr>
        <w:spacing w:after="0" w:line="184"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taxable as partnerships for U.S. federal income tax purposes, or persons holding the ADSs or ordinary shares through such entities.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whom may be subject to tax rules that differ significantly from those discussed below.</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U.S. Holder is urged to consult its tax advisor regarding the application of U.S. federal taxation to its particular circumstances, and the state, local, non-U.S. and other tax considerations of the ownership and disposition of the ADSs or ordinary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the ADSs or ordinary shares that is, for U.S. federal income tax purposes:</w:t>
      </w:r>
    </w:p>
    <w:p>
      <w:pPr>
        <w:spacing w:after="0" w:line="135" w:lineRule="exact"/>
        <w:rPr>
          <w:sz w:val="20"/>
          <w:szCs w:val="20"/>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84"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in or organized under the law of the United States or any state thereof or the District of Columbia;</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198"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is a beneficial owner of the ADSs or ordinary shares, the tax treatment of a partner in the partnership will generally depend upon the status of the partner and the activities of the partnership. Partnerships holding the ADSs or ordinary shares and their partners are urged to consult their tax advisors regarding an investment in the ADSs or ordinary shares.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U.S. federal income tax purposes, a U.S. Holder of ADSs will generally be treated as the beneficial owner of the underlying shares represented by the ADSs. The remainder of this discussion assumes that a U.S. Holder of the ADSs will be treated in this manner. Accordingly, deposits or withdrawals of ordinary shares for ADSs will generally not be subject to U.S. federal income tax.</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For this purpose, cash and assets readily convertible into cash are categorized as a passive asset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25% or more (by value) of the stock.</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the law in this regard is not entirely clear, we treat the VIE and its subsidiaries as being owned by us for U.S. federal income tax purposes because we conduct the business operations of the VIE and are entitled to substantially all of the economic benefits associated with it. As a result, we consolidate its result of operations in our consolidated U.S. GAAP financial statements. If it were determined, however, that we are not the owner of the VIE for U.S. federal income tax purposes, we may be treated as a PFIC for the current taxable year and any subsequent taxable year.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Assuming that we are the owner of the VIE and its subsidiaries for U.S. federal income tax purposes, and based upon our current and projected income and assets, we do not believe we were a PFIC for the taxable year ended December 31, 2025. However, no assurance can be given that we will not be or become a PFIC in the current or future taxable years because the determination of whether we will be or become a PFIC for any taxable year is a fact-intensive determination made annually that will depend, in part, upon the composition of our income and assets. Fluctuations in the market price of the ADSs may cause us to be or become a PFIC for the current or future taxable years because the value of our assets for purposes of the asset test, including the value of our goodwill and unbooked intangibles, may be determined by reference to the market price of the ADSs from time to time (which may be volatile). In estimating the value of our goodwill and other unbooked intangibles, we have taken into account our current market capitalization. In particular, recent declines in the market price of the ADSs and Class A ordinary shares increased our risk of becoming a PFIC. If our market capitalization continues to decline, we may be or become classified as a PFIC for the current taxable year or future taxable years. Furthermore, the composition of our income and assets may also be affected by how, and how quickly, we use our liquid assets.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classified as a PFIC may substantially increase.</w:t>
      </w:r>
    </w:p>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a PFIC for any year during which a U.S. Holder holds the ADSs or ordinary shares, we will generally continue to be treated as a PFIC for all succeeding years during which such U.S. Holder holds the ADSs or ordinary shares.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discussion below under “—Dividends” and “—Sale or Other Disposition” is written on the basis that we will not be or become classified as a PFIC for U.S. federal income tax purposes. The U.S. federal income tax rules that apply generally if we are treated as a PFIC are discussed below under “—Passive Foreign Investment Company Rules.”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cash distributions paid on the ADSs or ordinary shares (including the amount of any mainland China tax withheld)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the ADSs or ordinary shares will not be eligible for the dividends-received deduction allowed to corporations in respect of dividends received from U.S. corporations.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Individuals and other non-corporate U.S. Holders will be subject to tax at the lower capital gain tax rate applicable to “qualified dividend income”;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certain conditions are satisfied, including that (i) the ADSs or ordinary shares on which the dividends are paid are readily tradable on an established securities market in the United States, or, in the event that we are deemed to be a mainland China resident enterprise under the mainland China tax law, we are eligible for the benefit of the United States-mainland China income tax treaty, (ii) we are neither a PFIC nor treated as such with respect to a U.S. Holder (as discussed below) for the taxable year in which the dividend is paid and the preceding taxable year, and (iii) certain holding period requirements are met. Our ADSs are considered to be readily tradable on the Nasdaq Global Market, which is an established securities market in the United States. There can be no assurance that the ADSs will continue to be considered readily tradable on an established securities market in later years. Because the ordinary shares will not be listed on a U.S. exchange, we do not believe that dividends received with respect to ordinary shares that are not represented by ADSs will be treated as qualified dividends. U.S. Holders are urged to consult their tax advisors regarding the availability of the lower rate for dividends paid with respect to the ADSs or ordinary shares.</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that we are deemed to be a mainland China resident enterprise under the PRC Enterprise Income Tax Law (see “—Mainland China Taxation”), we may be eligible for the benefits of the United States-mainland China income tax treaty. If we are eligible for such benefits, dividends we pay on our ordinary shares, regardless of whether such shares are represented by the ADSs, and regardless of whether the ADSs are readily tradable on an established securities market in the United States, would be eligible for the reduced rates of taxation described in the preceding paragraph.</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U.S. foreign tax credit purposes, dividends paid on the ADSs or ordinary shares will generally be treated as income from foreign sources and will generally constitute passive category income. In the event that we are deemed to be a mainland China resident enterprise under the PRC Enterprise Income Tax Law, a U.S. Holder may be subject to mainland China withholding taxes on dividends paid on the ADSs or ordinary shares (see “—Mainland China Taxation”). Depending on the U.S. Holder’s particular facts and circumstances and subject to a number of complex conditions and limitations, mainland China withholding taxes on dividends that are non-refundable under the United States-mainland China income tax treaty may be treated as foreign taxes eligible for credit against a U.S. Holder’s U.S. federal income tax liability.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and U.S. Holders are urged to consult their tax advisors regarding the availability of the foreign tax credit under their particular circumstances.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U.S. Holder will generally recognize gain or loss upon the sale or other disposition of ADSs or ordinary shares in an amount equal to the difference between the amount realized upon the disposition and the holder’s adjusted tax basis in such ADSs or ordinary shares. The gain or loss will generally be capital gain or loss. Any capital gain or loss will be long term if the ADSs or ordinary shares have been held for more than one year. The deductibility of a capital loss may be subject to limitations. Any such gain or loss that the U.S. Holder recognizes will generally be treated as U.S. source income or loss for foreign tax credit limitation purposes, which will generally limit the availability of foreign tax credits. However, in the event we are deemed to be a mainland China resident enterprise under the PRC Enterprise Income Tax Law, we may be eligible for the benefits of the United States-mainland China income tax treaty. In such event, if mainland China tax were to be imposed on any gain from the disposition of the ADSs or ordinary shares, a U.S. Holder that is eligible for the benefits of the treaty may elect to treat such gain as mainland China source income. Pursuant to the Treasury Regulations (the applicability of which has been postponed until further guidance is issued), however, if a U.S. Holder is not eligible for the benefits of the United States-mainland China income tax treaty or does not elect to apply the treaty, then such holder may not be able to claim a foreign tax credit arising from any mainland China tax imposed on the disposition of the ADSs or ordinary shares. Each U.S. Holder is advised to consult its tax advisor regarding the tax consequences if a foreign tax is imposed on a disposition of the ADSs or ordinary shares, including the availability of the foreign tax credit or deduction under its particular circumstances, their eligibility for benefits under the treaty and the potential impact of the Treasury Regulations.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the ADSs or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ordinary shares), and (ii) any gain realized on the sale or other disposition including, under certain circumstances, a pledge of ADSs or ordinary shares. Under the PFIC rules:</w:t>
      </w:r>
    </w:p>
    <w:p>
      <w:pPr>
        <w:spacing w:after="0" w:line="147" w:lineRule="exact"/>
        <w:rPr>
          <w:sz w:val="20"/>
          <w:szCs w:val="20"/>
          <w:color w:val="auto"/>
        </w:rPr>
      </w:pPr>
    </w:p>
    <w:p>
      <w:pPr>
        <w:ind w:left="680" w:hanging="32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the ADSs or ordinary shares;</w:t>
      </w:r>
    </w:p>
    <w:p>
      <w:pPr>
        <w:spacing w:after="0" w:line="198"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classified as a PFIC (each, a “pre-PFIC year”) will be taxable as ordinary income; and</w:t>
      </w:r>
    </w:p>
    <w:p>
      <w:pPr>
        <w:spacing w:after="0" w:line="12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increased by an additional tax equal to the interest on the resulting tax deemed deferred with respect to each such taxable year.</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the ADSs or ordinary shares, and any of our subsidiaries, the VIE or any of the subsidiaries of the VIE entity is also a PFIC (each, a “lower-tier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 the VIE or any of the subsidiaries of the VIE.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(as defined below) in a PFIC may make a mark-to-market election with respect to such stock. If a U.S. Holder makes this election with respect to the ADSs,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respect of the ADSs and we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the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mark-to-market election is available only for “marketable stock,” which is stock that is traded in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quantities on at least 15 days during each calendar quarter (“regularly traded”) on a qualified exchange or other market, as defined in applicable United States Treasury regulations. Our ADSs are listed on the Nasdaq Global Market, which is an established securities market in the United States. Consequently, if our ADSs continue to be listed on the Nasdaq Global Market and are regularly traded, we expect that the mark-to-market election would be available to a U.S. Holder that holds our ADSs were we to be or become a PFIC. Our ADSs are expected to qualify as being regularly traded, but no assurance may be given in this regard.</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a mark-to-market election cannot technically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U.S. Holder owns the ADSs or ordinary shares during any taxable year that we are a PFIC, the holder must generally file an annual IRS Form 8621. You should consult your tax advisor regarding the U.S. federal income tax consequences of owning and disposing of the ADSs or ordinary shares if we are or become a PFIC.</w:t>
      </w:r>
    </w:p>
    <w:p>
      <w:pPr>
        <w:spacing w:after="0" w:line="131" w:lineRule="exact"/>
        <w:rPr>
          <w:sz w:val="20"/>
          <w:szCs w:val="20"/>
          <w:color w:val="auto"/>
        </w:rPr>
      </w:pPr>
    </w:p>
    <w:p>
      <w:pPr>
        <w:ind w:left="340" w:hanging="332"/>
        <w:spacing w:after="0"/>
        <w:tabs>
          <w:tab w:leader="none" w:pos="3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and Paying Agents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Statement by Experts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are subject to periodic reporting and other informational requirements of the Exchange Act as applicable to foreign private issuers, and are required to file reports and other information with the SEC. Specifically, we are required to file annually an annual report on Form 20-F within four months after the end of each fiscal year, which is December 31. All information we file with the SEC can be obtained over the internet at the SEC’s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As a foreign private issuer, (i) we are exempt from the rules under the Exchange Act prescribing the furnishing and content of proxy statements to shareholders, (ii) our executive officers and directors are exempt from the short-swing rules contained in Section 16 of the Exchange Act, and (iii) our principal shareholders are exempt from the reporting and short-swing rules contained in Section 16 of the Exchange Act.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furnish the Citibank, N.A., the depositary of the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accordance with Nasdaq Stock Market Rule 5250(d), we will post this annual report on Form 20-F on our website at </w:t>
      </w:r>
      <w:r>
        <w:rPr>
          <w:rFonts w:ascii="Times New Roman" w:cs="Times New Roman" w:eastAsia="Times New Roman" w:hAnsi="Times New Roman"/>
          <w:sz w:val="18"/>
          <w:szCs w:val="18"/>
          <w:u w:val="single" w:color="auto"/>
          <w:color w:val="auto"/>
        </w:rPr>
        <w:t>http://ir.niu.com</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will provide hardcopies of our annual report free of charge to shareholders and ADS holders upon request.</w:t>
      </w:r>
    </w:p>
    <w:p>
      <w:pPr>
        <w:spacing w:after="0" w:line="162" w:lineRule="exact"/>
        <w:rPr>
          <w:sz w:val="20"/>
          <w:szCs w:val="20"/>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Subsidiary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to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right="4600"/>
        <w:spacing w:after="0" w:line="456" w:lineRule="auto"/>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 Interest Rate Risk</w:t>
      </w:r>
    </w:p>
    <w:p>
      <w:pPr>
        <w:jc w:val="both"/>
        <w:spacing w:after="0" w:line="261" w:lineRule="auto"/>
        <w:rPr>
          <w:sz w:val="20"/>
          <w:szCs w:val="20"/>
          <w:color w:val="auto"/>
        </w:rPr>
      </w:pPr>
      <w:r>
        <w:rPr>
          <w:rFonts w:ascii="Times New Roman" w:cs="Times New Roman" w:eastAsia="Times New Roman" w:hAnsi="Times New Roman"/>
          <w:sz w:val="18"/>
          <w:szCs w:val="18"/>
          <w:color w:val="auto"/>
        </w:rPr>
        <w:t>Our exposure to interest rate risk primarily relates to the interest expenses on our short-term bank borrowings. Our short-term bank borrowing bears interests at fixed rates. We have not been exposed to, nor do we anticipate being exposed to, material risks due to changes in market interest rates. However, our future interest expenses may exceed expectations due to changes in market interest rates. If we were to renew these short-term bank borrowings, we might be subject to interest rate risk.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substantial majority of all of our revenues and expenses are denominated in Renminbi. We do not believe that we currently have any significant direct foreign exchange risk and have not used any derivative financial instruments to hedge exposure to such risk. Although our exposure to foreign exchange risks should be limited in general, the value of your investment in the ADSs will be affected by the exchange rate between U.S. dollar and Renminbi because the value of our business is effectively denominated in Renminbi, while the ADSs will be traded in U.S. dollars. In addition, as our business and operation expand in European and other overseas markets, we are exposed to increased foreign exchange risks for U.S. dollar and other currencies.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conversion of Renminbi into other currencies, including U.S. dollars, is based on rates set by the People’s Bank of China. The Renminbi has fluctuated against other currencies, at times significantly and unpredictably. The value of Renminbi against other currencies is affected by changes in China’s political and economic conditions and by China’s foreign exchange policies, among other things. It is difficult to predict how market forces or government policies may impact the exchange rate between Renminbi and other currencies in the future.</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significant depreciation of the Renminbi may materially and adversely affect our revenues, earnings and financial position as reported in U.S. dollars. To the extent that we need to convert U.S. dollars into Renminbi for our operations, appreciation of the Renminbi against the U.S. dollar would have an adverse effect on the Renminbi amount we receive from the conversion. Conversely, if we decide to convert Renminbi into U.S. dollars for the purpose of making payments for dividends on our shares or ADSs or for other business purposes, appreciation of the U.S. dollar against the Renminbi would have a negative effect on the U.S. dollar amount available to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Debt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Warrants and Rights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Other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American Depositary Shares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Charges Our ADS holders May Have to Pay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ADS holder will be required to pay the following fees under the terms of the deposit agreement: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​​​Fees</w:t>
            </w:r>
          </w:p>
        </w:tc>
      </w:tr>
      <w:tr>
        <w:trPr>
          <w:trHeight w:val="191"/>
        </w:trPr>
        <w:tc>
          <w:tcPr>
            <w:tcW w:w="48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   Issuance of ADSs (e.g., an issuance of ADS upon a deposit of</w:t>
            </w:r>
          </w:p>
        </w:tc>
        <w:tc>
          <w:tcPr>
            <w:tcW w:w="180" w:type="dxa"/>
            <w:vAlign w:val="bottom"/>
            <w:tcBorders>
              <w:top w:val="single" w:sz="8" w:color="CCEEFF"/>
            </w:tcBorders>
            <w:shd w:val="clear" w:color="auto" w:fill="CCEEFF"/>
          </w:tcPr>
          <w:p>
            <w:pPr>
              <w:spacing w:after="0"/>
              <w:rPr>
                <w:sz w:val="16"/>
                <w:szCs w:val="16"/>
                <w:color w:val="auto"/>
              </w:rPr>
            </w:pPr>
          </w:p>
        </w:tc>
        <w:tc>
          <w:tcPr>
            <w:tcW w:w="48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Up to US$0.05 per ADS issued</w:t>
            </w:r>
          </w:p>
        </w:tc>
      </w:tr>
      <w:tr>
        <w:trPr>
          <w:trHeight w:val="216"/>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Class A ordinary shares, upon a change in the ADS(s)-to</w:t>
            </w:r>
          </w:p>
        </w:tc>
        <w:tc>
          <w:tcPr>
            <w:tcW w:w="18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r>
      <w:tr>
        <w:trPr>
          <w:trHeight w:val="216"/>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Class A ordinary share(s) ratio, or for any other reason),</w:t>
            </w:r>
          </w:p>
        </w:tc>
        <w:tc>
          <w:tcPr>
            <w:tcW w:w="18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r>
      <w:tr>
        <w:trPr>
          <w:trHeight w:val="216"/>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excluding  ADS  issuances  as  a  result  of  distributions  of</w:t>
            </w:r>
          </w:p>
        </w:tc>
        <w:tc>
          <w:tcPr>
            <w:tcW w:w="18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r>
      <w:tr>
        <w:trPr>
          <w:trHeight w:val="234"/>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Class A ordinary shares</w:t>
            </w:r>
          </w:p>
        </w:tc>
        <w:tc>
          <w:tcPr>
            <w:tcW w:w="180" w:type="dxa"/>
            <w:vAlign w:val="bottom"/>
            <w:shd w:val="clear" w:color="auto" w:fill="CCEEFF"/>
          </w:tcPr>
          <w:p>
            <w:pPr>
              <w:spacing w:after="0"/>
              <w:rPr>
                <w:sz w:val="20"/>
                <w:szCs w:val="20"/>
                <w:color w:val="auto"/>
              </w:rPr>
            </w:pPr>
          </w:p>
        </w:tc>
        <w:tc>
          <w:tcPr>
            <w:tcW w:w="4880" w:type="dxa"/>
            <w:vAlign w:val="bottom"/>
            <w:shd w:val="clear" w:color="auto" w:fill="CCEEFF"/>
          </w:tcPr>
          <w:p>
            <w:pPr>
              <w:spacing w:after="0"/>
              <w:rPr>
                <w:sz w:val="20"/>
                <w:szCs w:val="20"/>
                <w:color w:val="auto"/>
              </w:rPr>
            </w:pPr>
          </w:p>
        </w:tc>
      </w:tr>
      <w:tr>
        <w:trPr>
          <w:trHeight w:val="198"/>
        </w:trPr>
        <w:tc>
          <w:tcPr>
            <w:tcW w:w="4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Cancellation of ADSs (e.g., a cancellation of ADSs for</w:t>
            </w:r>
          </w:p>
        </w:tc>
        <w:tc>
          <w:tcPr>
            <w:tcW w:w="180" w:type="dxa"/>
            <w:vAlign w:val="bottom"/>
          </w:tcPr>
          <w:p>
            <w:pPr>
              <w:spacing w:after="0"/>
              <w:rPr>
                <w:sz w:val="17"/>
                <w:szCs w:val="17"/>
                <w:color w:val="auto"/>
              </w:rPr>
            </w:pPr>
          </w:p>
        </w:tc>
        <w:tc>
          <w:tcPr>
            <w:tcW w:w="4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Up to US$0.05 per ADS cancelled</w:t>
            </w:r>
          </w:p>
        </w:tc>
      </w:tr>
      <w:tr>
        <w:trPr>
          <w:trHeight w:val="216"/>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delivery of deposited property, upon a change in the ADS(s)-</w:t>
            </w:r>
          </w:p>
        </w:tc>
        <w:tc>
          <w:tcPr>
            <w:tcW w:w="180" w:type="dxa"/>
            <w:vAlign w:val="bottom"/>
          </w:tcPr>
          <w:p>
            <w:pPr>
              <w:spacing w:after="0"/>
              <w:rPr>
                <w:sz w:val="18"/>
                <w:szCs w:val="18"/>
                <w:color w:val="auto"/>
              </w:rPr>
            </w:pPr>
          </w:p>
        </w:tc>
        <w:tc>
          <w:tcPr>
            <w:tcW w:w="4880" w:type="dxa"/>
            <w:vAlign w:val="bottom"/>
          </w:tcPr>
          <w:p>
            <w:pPr>
              <w:spacing w:after="0"/>
              <w:rPr>
                <w:sz w:val="18"/>
                <w:szCs w:val="18"/>
                <w:color w:val="auto"/>
              </w:rPr>
            </w:pPr>
          </w:p>
        </w:tc>
      </w:tr>
      <w:tr>
        <w:trPr>
          <w:trHeight w:val="234"/>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 Class A ordinary share(s) ratio, or for any other reason)</w:t>
            </w:r>
          </w:p>
        </w:tc>
        <w:tc>
          <w:tcPr>
            <w:tcW w:w="18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198"/>
        </w:trPr>
        <w:tc>
          <w:tcPr>
            <w:tcW w:w="4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Distribution of cash dividends or other cash distributions</w:t>
            </w:r>
          </w:p>
        </w:tc>
        <w:tc>
          <w:tcPr>
            <w:tcW w:w="180" w:type="dxa"/>
            <w:vAlign w:val="bottom"/>
            <w:shd w:val="clear" w:color="auto" w:fill="CCEEFF"/>
          </w:tcPr>
          <w:p>
            <w:pPr>
              <w:spacing w:after="0"/>
              <w:rPr>
                <w:sz w:val="17"/>
                <w:szCs w:val="17"/>
                <w:color w:val="auto"/>
              </w:rPr>
            </w:pPr>
          </w:p>
        </w:tc>
        <w:tc>
          <w:tcPr>
            <w:tcW w:w="4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Up to US$0.05 per ADS held</w:t>
            </w:r>
          </w:p>
        </w:tc>
      </w:tr>
      <w:tr>
        <w:trPr>
          <w:trHeight w:val="234"/>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(e.g., upon a sale of rights and other entitlements)</w:t>
            </w:r>
          </w:p>
        </w:tc>
        <w:tc>
          <w:tcPr>
            <w:tcW w:w="180" w:type="dxa"/>
            <w:vAlign w:val="bottom"/>
            <w:shd w:val="clear" w:color="auto" w:fill="CCEEFF"/>
          </w:tcPr>
          <w:p>
            <w:pPr>
              <w:spacing w:after="0"/>
              <w:rPr>
                <w:sz w:val="20"/>
                <w:szCs w:val="20"/>
                <w:color w:val="auto"/>
              </w:rPr>
            </w:pPr>
          </w:p>
        </w:tc>
        <w:tc>
          <w:tcPr>
            <w:tcW w:w="4880" w:type="dxa"/>
            <w:vAlign w:val="bottom"/>
            <w:shd w:val="clear" w:color="auto" w:fill="CCEEFF"/>
          </w:tcPr>
          <w:p>
            <w:pPr>
              <w:spacing w:after="0"/>
              <w:rPr>
                <w:sz w:val="20"/>
                <w:szCs w:val="20"/>
                <w:color w:val="auto"/>
              </w:rPr>
            </w:pPr>
          </w:p>
        </w:tc>
      </w:tr>
      <w:tr>
        <w:trPr>
          <w:trHeight w:val="198"/>
        </w:trPr>
        <w:tc>
          <w:tcPr>
            <w:tcW w:w="4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Distribution of ADSs pursuant to (i) stock dividends or other</w:t>
            </w:r>
          </w:p>
        </w:tc>
        <w:tc>
          <w:tcPr>
            <w:tcW w:w="180" w:type="dxa"/>
            <w:vAlign w:val="bottom"/>
          </w:tcPr>
          <w:p>
            <w:pPr>
              <w:spacing w:after="0"/>
              <w:rPr>
                <w:sz w:val="17"/>
                <w:szCs w:val="17"/>
                <w:color w:val="auto"/>
              </w:rPr>
            </w:pPr>
          </w:p>
        </w:tc>
        <w:tc>
          <w:tcPr>
            <w:tcW w:w="4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Up to US$0.05 per ADS held</w:t>
            </w:r>
          </w:p>
        </w:tc>
      </w:tr>
      <w:tr>
        <w:trPr>
          <w:trHeight w:val="216"/>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free stock distributions, or (ii) exercise of rights to purchase</w:t>
            </w:r>
          </w:p>
        </w:tc>
        <w:tc>
          <w:tcPr>
            <w:tcW w:w="180" w:type="dxa"/>
            <w:vAlign w:val="bottom"/>
          </w:tcPr>
          <w:p>
            <w:pPr>
              <w:spacing w:after="0"/>
              <w:rPr>
                <w:sz w:val="18"/>
                <w:szCs w:val="18"/>
                <w:color w:val="auto"/>
              </w:rPr>
            </w:pPr>
          </w:p>
        </w:tc>
        <w:tc>
          <w:tcPr>
            <w:tcW w:w="4880" w:type="dxa"/>
            <w:vAlign w:val="bottom"/>
          </w:tcPr>
          <w:p>
            <w:pPr>
              <w:spacing w:after="0"/>
              <w:rPr>
                <w:sz w:val="18"/>
                <w:szCs w:val="18"/>
                <w:color w:val="auto"/>
              </w:rPr>
            </w:pPr>
          </w:p>
        </w:tc>
      </w:tr>
      <w:tr>
        <w:trPr>
          <w:trHeight w:val="234"/>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ADSs</w:t>
            </w:r>
          </w:p>
        </w:tc>
        <w:tc>
          <w:tcPr>
            <w:tcW w:w="18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198"/>
        </w:trPr>
        <w:tc>
          <w:tcPr>
            <w:tcW w:w="4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Distribution  of  securities  other  than  ADSs  or  rights  to</w:t>
            </w:r>
          </w:p>
        </w:tc>
        <w:tc>
          <w:tcPr>
            <w:tcW w:w="180" w:type="dxa"/>
            <w:vAlign w:val="bottom"/>
            <w:shd w:val="clear" w:color="auto" w:fill="CCEEFF"/>
          </w:tcPr>
          <w:p>
            <w:pPr>
              <w:spacing w:after="0"/>
              <w:rPr>
                <w:sz w:val="17"/>
                <w:szCs w:val="17"/>
                <w:color w:val="auto"/>
              </w:rPr>
            </w:pPr>
          </w:p>
        </w:tc>
        <w:tc>
          <w:tcPr>
            <w:tcW w:w="4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Up to US$0.05 per ADS held</w:t>
            </w:r>
          </w:p>
        </w:tc>
      </w:tr>
      <w:tr>
        <w:trPr>
          <w:trHeight w:val="234"/>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additional ADSs (e.g., upon a spin-off)</w:t>
            </w:r>
          </w:p>
        </w:tc>
        <w:tc>
          <w:tcPr>
            <w:tcW w:w="180" w:type="dxa"/>
            <w:vAlign w:val="bottom"/>
            <w:shd w:val="clear" w:color="auto" w:fill="CCEEFF"/>
          </w:tcPr>
          <w:p>
            <w:pPr>
              <w:spacing w:after="0"/>
              <w:rPr>
                <w:sz w:val="20"/>
                <w:szCs w:val="20"/>
                <w:color w:val="auto"/>
              </w:rPr>
            </w:pPr>
          </w:p>
        </w:tc>
        <w:tc>
          <w:tcPr>
            <w:tcW w:w="4880" w:type="dxa"/>
            <w:vAlign w:val="bottom"/>
            <w:shd w:val="clear" w:color="auto" w:fill="CCEEFF"/>
          </w:tcPr>
          <w:p>
            <w:pPr>
              <w:spacing w:after="0"/>
              <w:rPr>
                <w:sz w:val="20"/>
                <w:szCs w:val="20"/>
                <w:color w:val="auto"/>
              </w:rPr>
            </w:pPr>
          </w:p>
        </w:tc>
      </w:tr>
      <w:tr>
        <w:trPr>
          <w:trHeight w:val="198"/>
        </w:trPr>
        <w:tc>
          <w:tcPr>
            <w:tcW w:w="4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ADS Services</w:t>
            </w:r>
          </w:p>
        </w:tc>
        <w:tc>
          <w:tcPr>
            <w:tcW w:w="180" w:type="dxa"/>
            <w:vAlign w:val="bottom"/>
          </w:tcPr>
          <w:p>
            <w:pPr>
              <w:spacing w:after="0"/>
              <w:rPr>
                <w:sz w:val="17"/>
                <w:szCs w:val="17"/>
                <w:color w:val="auto"/>
              </w:rPr>
            </w:pPr>
          </w:p>
        </w:tc>
        <w:tc>
          <w:tcPr>
            <w:tcW w:w="4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Up to US$0.05 per ADS held on the applicable record</w:t>
            </w:r>
          </w:p>
        </w:tc>
      </w:tr>
      <w:tr>
        <w:trPr>
          <w:trHeight w:val="234"/>
        </w:trPr>
        <w:tc>
          <w:tcPr>
            <w:tcW w:w="4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date(s) established by the depositary bank</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ADS holder will also be responsible to pay certain charges such as:</w:t>
      </w:r>
    </w:p>
    <w:p>
      <w:pPr>
        <w:spacing w:after="0" w:line="198" w:lineRule="exact"/>
        <w:rPr>
          <w:sz w:val="20"/>
          <w:szCs w:val="20"/>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184"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fees as may from time to time be in effect for the registration of Class A ordinary shares on the share register and applicable to transfers of Class A ordinary shares to or from the name of the custodian, the depositary bank or any nominees upon the making of deposits and withdrawals, respectively;</w:t>
      </w:r>
    </w:p>
    <w:p>
      <w:pPr>
        <w:spacing w:after="0" w:line="13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cable, telex and facsimile transmission and delivery expenses;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and charges incurred by the depositary bank in the conversion of foreign currency;</w:t>
      </w:r>
    </w:p>
    <w:p>
      <w:pPr>
        <w:spacing w:after="0" w:line="184"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incurred by the depositary bank in connection with compliance with exchange control regulations and other regulatory requirements applicable to Class A ordinary shares, ADSs and ADRs; and</w:t>
      </w:r>
    </w:p>
    <w:p>
      <w:pPr>
        <w:spacing w:after="0" w:line="12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incurred by the depositary bank, the custodian, or any nominee in connection with the servicing or delivery of deposited property.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Certain depositary fees and charges (such as the ADS services fee) may become payable shortly after the closing of the ADS offering. Note that the fees and charges an ADS holder may be required to pay may vary over time and may be changed by us and by the depositary bank. An ADS holder will receive prior notice of such changes.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Other Payments Made by the Depositary to Us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 In 2025, we received approximately US$0.6 million as reimbursement from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“Item 10. Additional Information—B. Memorandum and Articles of Association—Ordinary Shares” for a description of the rights of securities holders, which remain unchanged.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upon that evaluation, our management has concluded that, as of December 31, 2025, our disclosure controls and procedures were effective in ensuring that the information required to be disclosed by us in the reports that we file and furnish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to allow timely decisions regarding required disclosure.</w:t>
      </w:r>
    </w:p>
    <w:p>
      <w:pPr>
        <w:spacing w:after="0" w:line="14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 As required by Section 404 of the Sarbanes-Oxley Act and related rules as promulgated by the SEC, our management assessed the effectiveness of our internal control over financial reporting as of December 31, 2025 using criteria established in Internal Control—Integrated Framework (2013) issued by the Committee of Sponsoring Organizations of the Treadway Commission.</w:t>
      </w:r>
    </w:p>
    <w:p>
      <w:pPr>
        <w:spacing w:after="0" w:line="1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this assessment, our management, with the participation of our chief executive officer and chief financial officer, concluded that our internal control over financial reporting was effective as of December 31, 2025.</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of our internal control over financial reporting to future periods are subject to the risks that controls may become inadequate because of changes in conditions, or that the degree of compliance with the policies or procedures may deteriorate.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Attestation Report of the Registered Public Accounting Firm</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KPMG Huazhen LLP, has audited the effectiveness of our company’s internal control over financial reporting as of December 31, 2025.</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Niu Technologies: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Opinion on Internal Control Over Financial Reporting</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Niu Technologies and subsidiaries’ (the Company) internal control over financial reporting as of December 31, 2025,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2025, the related consolidated statements of comprehensive loss, changes in shareholders’ equity, and cash flows for each of the years in the three-year period ended December 31, 2025, and the related notes (collectively, the consolidated financial statements), and our report dated April 17, 2026 expressed an unqualified opinion on those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for Opinion</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 and Limitations of Internal Control Over Financial Reporting</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Huazhen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China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Changes in Internal Control over Financial Reporting</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Mr. Changqing Ye, an independent director (under the standards set forth in Nasdaq Stock Market Rule 5605 and Rule 10A-3 under the Exchange Act) and chairman of our audit committee, is an audit committee financial expert.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Our board of directors adopted a code of business conduct and ethics that applies to our directors, officers, employees and advisors in September 2018. We have posted a copy of our code of business conduct and ethics on our website at </w:t>
      </w:r>
      <w:r>
        <w:rPr>
          <w:rFonts w:ascii="Times New Roman" w:cs="Times New Roman" w:eastAsia="Times New Roman" w:hAnsi="Times New Roman"/>
          <w:sz w:val="18"/>
          <w:szCs w:val="18"/>
          <w:i w:val="1"/>
          <w:iCs w:val="1"/>
          <w:u w:val="single" w:color="auto"/>
          <w:color w:val="auto"/>
        </w:rPr>
        <w:t>ir.niu.com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KPMG Huazhen LLP, our principal external auditors,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Pr>
          <w:p>
            <w:pPr>
              <w:ind w:left="656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5"/>
                <w:szCs w:val="15"/>
                <w:color w:val="auto"/>
              </w:rPr>
            </w:pPr>
          </w:p>
        </w:tc>
        <w:tc>
          <w:tcPr>
            <w:tcW w:w="10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68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4"/>
                <w:szCs w:val="24"/>
                <w:color w:val="auto"/>
                <w:vertAlign w:val="superscript"/>
              </w:rPr>
              <w:t>(1)</w:t>
            </w:r>
          </w:p>
        </w:tc>
        <w:tc>
          <w:tcPr>
            <w:tcW w:w="4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1,259,832</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1,322,330</w:t>
            </w:r>
          </w:p>
        </w:tc>
      </w:tr>
      <w:tr>
        <w:trPr>
          <w:trHeight w:val="355"/>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6"/>
                <w:szCs w:val="26"/>
                <w:color w:val="auto"/>
                <w:vertAlign w:val="superscript"/>
              </w:rPr>
              <w:t>(2)</w:t>
            </w: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34,498</w:t>
            </w:r>
          </w:p>
        </w:tc>
        <w:tc>
          <w:tcPr>
            <w:tcW w:w="260" w:type="dxa"/>
            <w:vAlign w:val="bottom"/>
          </w:tcPr>
          <w:p>
            <w:pPr>
              <w:spacing w:after="0"/>
              <w:rPr>
                <w:sz w:val="24"/>
                <w:szCs w:val="24"/>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156845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79" w:lineRule="exact"/>
        <w:rPr>
          <w:sz w:val="20"/>
          <w:szCs w:val="20"/>
          <w:color w:val="auto"/>
        </w:rPr>
      </w:pPr>
    </w:p>
    <w:p>
      <w:pPr>
        <w:jc w:val="both"/>
        <w:ind w:left="340" w:hanging="332"/>
        <w:spacing w:after="0" w:line="266"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 2025 represent the aggregate fees billed or payable for professional services rendered by our principal auditors for the audit of the 2025 consolidated financial statements and internal control over financial reporting as of December 31, 2025 and assistance with and review of documents filed with the SEC.</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mean the aggregate fees billed for services rendered by independent registered public accounting firm for tax compliance services and tax advisory services.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policy of our audit committee or our board of directors is to pre-approve all audit and non-audit services provided by KPMG Huazhen LLP, including as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right="3740"/>
        <w:spacing w:after="0" w:line="477" w:lineRule="auto"/>
        <w:rPr>
          <w:sz w:val="20"/>
          <w:szCs w:val="20"/>
          <w:color w:val="auto"/>
        </w:rPr>
      </w:pPr>
      <w:r>
        <w:rPr>
          <w:rFonts w:ascii="Times New Roman" w:cs="Times New Roman" w:eastAsia="Times New Roman" w:hAnsi="Times New Roman"/>
          <w:sz w:val="18"/>
          <w:szCs w:val="18"/>
          <w:b w:val="1"/>
          <w:bCs w:val="1"/>
          <w:color w:val="auto"/>
        </w:rPr>
        <w:t xml:space="preserve">Item 16E. Purchases of Equity Securities by the Issuer and Affiliated Purchasers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Cayman Islands exempted company listed on Nasdaq, we are subject to the Nasdaq Stock Market Rules corporate governance listing standards. However, Nasdaq rules permit a foreign private issuer like us to follow the corporate governance practices of its home country. Certain corporate governance practices in the Cayman Islands, which is our home country, differ significantly from requirements for companies incorporated in other jurisdictions such as the United States. Nasdaq Rule 5620(a) requires that each company listing common stock or voting preferred stock, and their equivalents, must hold an annual meeting of shareholders no later than one year after the end of the company’s fiscal year-end. We followed home country practice and did not hold an annual meeting of shareholders in 2025. If we continue to rely on this and other exemptions available to foreign private issuers in the future, our shareholders may be afforded less protection than they otherwise would under the Nasdaq corporate governance listing standards applicable to U.S. domestic issuers. See “Item 3. Key Information—D. Risk Factors—Risks Related to Our ADSs—We are a foreign private issuer within the meaning of the rules under the Exchange Act, and as such we are exempt from certain provisions applicable to United States domestic public companies.”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0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insider trading policies and procedures to provide guidance on the purchases, sales, and other dispositions of our securities by our directors, officers, employees and consultants, with the goal of promoting compliance with applicable insider trading laws, rules and regulations, and the listing standards of Nasdaq.</w:t>
      </w:r>
    </w:p>
    <w:p>
      <w:pPr>
        <w:spacing w:after="0" w:line="1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Amended and Restated Statement of Policies Governing Material, Non-Public Information and the Prevention of Insider Trading is filed as Exhibit 11.2 to this annual report on Form 20-F.</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implemented comprehensive cybersecurity management and security emergency response policies that are integrated into our overall risk management system. These procedures aim to ensure our overall network security, protect our data transmission system and prevent data leakage and other cybersecurity incidents. More specifically, we implement technical measures such as system vulnerability monitoring, anti-virus software, firewalls, and log monitoring to ensure the stability and proper operation of its information systems. Meanwhile, we grant employees only the necessary data access permissions required for their job responsibilities and monitor their operations to prevent improper access to or disclosure of data. In this way, we strive to ensure that information and data can only be obtained and used when necessary. In addition, for data at different levels, we adopt differentiated security protection strategies. Moreover, we engage law firms to conduct thorough due diligence on data compliance and to assess our data-processing activities.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is responsible for overseeing our company’s cybersecurity risk management and be informed on risks from cybersecurity threats. Our board of directors shall review, approve and maintain oversight of the disclosure (i) on Form 6-K for material cybersecurity incidents (if any) and (ii) related to cybersecurity matters in the periodic reports (including annual report on Form 20-F) of our company.</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management level, our cybersecurity committee is responsible for overseeing the process of assessing, identifying and managing material risks from cybersecurity threats to our company and monitoring the prevention, detection, mitigation and remediation of material cybersecurity incident. Our cybersecurity officer, who serves as the management representative of our cybersecurity committee, reports to our board of directors on (i) a quarterly basis on updates to the status of any material cybersecurity incidents or material risks from cybersecurity threats to our company, and the disclosure issues, if any, and (ii) on disclosure concerning cybersecurity matters in our annual report on Form 20-F. Our cybersecurity officer has extensive experience in enterprise compliance and risk management and has been responsible for our company’s data security issues since 2018. He is familiar with our company’s operational and data processing models and possesses thorough knowledge of information security and data compliance regulations in various countries and regions, including mainland China, the European Union, and the United States.</w:t>
      </w:r>
    </w:p>
    <w:p>
      <w:pPr>
        <w:spacing w:after="0" w:line="1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 cybersecurity incident occurs, our cybersecurity committee will promptly organize relevant personnel for internal assessment and, depending on the situation, seek the opinions of external experts and legal advisors. If it is determined that the incident could potentially be a material cybersecurity event, our data management committee will promptly report the investigation and assessment results to our corporate governance and nominating committee and our corporate governance and nominating committee will decide on the relevant response measures and whether any disclosure is necessary. If such disclosure is determined to be necessary, our cybersecurity committee shall promptly prepare disclosure material for review and approval by our corporate governance and nominating committee before it is disseminated to the public.</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Niu Technologies, its subsidiaries and the variable interest entity are included at the end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ectPr>
          <w:pgSz w:w="11900" w:h="16838" w:orient="portrait"/>
          <w:cols w:equalWidth="0" w:num="1">
            <w:col w:w="9920"/>
          </w:cols>
          <w:pgMar w:left="980" w:top="513" w:right="999" w:bottom="1440" w:gutter="0" w:footer="0" w:header="0"/>
        </w:sectPr>
      </w:pPr>
    </w:p>
    <w:p>
      <w:pPr>
        <w:spacing w:after="0" w:line="2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67691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tabs>
          <w:tab w:leader="none" w:pos="362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10795</wp:posOffset>
            </wp:positionV>
            <wp:extent cx="5469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469255" cy="8255"/>
                    </a:xfrm>
                    <a:prstGeom prst="rect">
                      <a:avLst/>
                    </a:prstGeom>
                    <a:noFill/>
                  </pic:spPr>
                </pic:pic>
              </a:graphicData>
            </a:graphic>
          </wp:anchor>
        </w:drawing>
      </w:r>
    </w:p>
    <w:p>
      <w:pPr>
        <w:spacing w:after="0" w:line="141" w:lineRule="exact"/>
        <w:rPr>
          <w:sz w:val="20"/>
          <w:szCs w:val="20"/>
          <w:color w:val="auto"/>
        </w:rPr>
      </w:pPr>
    </w:p>
    <w:p>
      <w:pPr>
        <w:jc w:val="both"/>
        <w:ind w:left="100"/>
        <w:spacing w:after="0" w:line="266" w:lineRule="auto"/>
        <w:rPr>
          <w:rFonts w:ascii="Times New Roman" w:cs="Times New Roman" w:eastAsia="Times New Roman" w:hAnsi="Times New Roman"/>
          <w:sz w:val="18"/>
          <w:szCs w:val="18"/>
          <w:u w:val="single" w:color="auto"/>
          <w:color w:val="0000EE"/>
        </w:rPr>
      </w:pPr>
      <w:hyperlink r:id="rId162">
        <w:r>
          <w:rPr>
            <w:rFonts w:ascii="Times New Roman" w:cs="Times New Roman" w:eastAsia="Times New Roman" w:hAnsi="Times New Roman"/>
            <w:sz w:val="18"/>
            <w:szCs w:val="18"/>
            <w:u w:val="single" w:color="auto"/>
            <w:color w:val="0000EE"/>
          </w:rPr>
          <w:t>Sixth Amended and Restated Memorandum and Articles of Association of the Registrant, effective October 23, 2018</w:t>
        </w:r>
      </w:hyperlink>
      <w:r>
        <w:rPr>
          <w:rFonts w:ascii="Times New Roman" w:cs="Times New Roman" w:eastAsia="Times New Roman" w:hAnsi="Times New Roman"/>
          <w:sz w:val="18"/>
          <w:szCs w:val="18"/>
          <w:u w:val="single" w:color="auto"/>
          <w:color w:val="0000EE"/>
        </w:rPr>
        <w:t xml:space="preserve"> </w:t>
      </w:r>
      <w:hyperlink r:id="rId162">
        <w:r>
          <w:rPr>
            <w:rFonts w:ascii="Times New Roman" w:cs="Times New Roman" w:eastAsia="Times New Roman" w:hAnsi="Times New Roman"/>
            <w:sz w:val="18"/>
            <w:szCs w:val="18"/>
            <w:u w:val="single" w:color="auto"/>
            <w:color w:val="0000EE"/>
          </w:rPr>
          <w:t>(incorporated by reference to Exhibit 3.2 of the Registrant’s registration statement on Form F-1 (file no. 333-227497),</w:t>
        </w:r>
      </w:hyperlink>
      <w:r>
        <w:rPr>
          <w:rFonts w:ascii="Times New Roman" w:cs="Times New Roman" w:eastAsia="Times New Roman" w:hAnsi="Times New Roman"/>
          <w:sz w:val="18"/>
          <w:szCs w:val="18"/>
          <w:u w:val="single" w:color="auto"/>
          <w:color w:val="0000EE"/>
        </w:rPr>
        <w:t xml:space="preserve"> </w:t>
      </w:r>
      <w:hyperlink r:id="rId162">
        <w:r>
          <w:rPr>
            <w:rFonts w:ascii="Times New Roman" w:cs="Times New Roman" w:eastAsia="Times New Roman" w:hAnsi="Times New Roman"/>
            <w:sz w:val="18"/>
            <w:szCs w:val="18"/>
            <w:u w:val="single" w:color="auto"/>
            <w:color w:val="0000EE"/>
          </w:rPr>
          <w:t>filed with the Securities and Exchange Commission on September 24, 2018)</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00"/>
        <w:spacing w:after="0" w:line="266" w:lineRule="auto"/>
        <w:rPr>
          <w:rFonts w:ascii="Times New Roman" w:cs="Times New Roman" w:eastAsia="Times New Roman" w:hAnsi="Times New Roman"/>
          <w:sz w:val="18"/>
          <w:szCs w:val="18"/>
          <w:u w:val="single" w:color="auto"/>
          <w:color w:val="0000EE"/>
        </w:rPr>
      </w:pPr>
      <w:hyperlink r:id="rId163">
        <w:r>
          <w:rPr>
            <w:rFonts w:ascii="Times New Roman" w:cs="Times New Roman" w:eastAsia="Times New Roman" w:hAnsi="Times New Roman"/>
            <w:sz w:val="18"/>
            <w:szCs w:val="18"/>
            <w:u w:val="single" w:color="auto"/>
            <w:color w:val="0000EE"/>
          </w:rPr>
          <w:t>Registrant’s Specimen American Depositary Receipt (incorporated by reference to Exhibit 4.3 of the Registrant’s</w:t>
        </w:r>
      </w:hyperlink>
      <w:r>
        <w:rPr>
          <w:rFonts w:ascii="Times New Roman" w:cs="Times New Roman" w:eastAsia="Times New Roman" w:hAnsi="Times New Roman"/>
          <w:sz w:val="18"/>
          <w:szCs w:val="18"/>
          <w:u w:val="single" w:color="auto"/>
          <w:color w:val="0000EE"/>
        </w:rPr>
        <w:t xml:space="preserve"> </w:t>
      </w:r>
      <w:hyperlink r:id="rId163">
        <w:r>
          <w:rPr>
            <w:rFonts w:ascii="Times New Roman" w:cs="Times New Roman" w:eastAsia="Times New Roman" w:hAnsi="Times New Roman"/>
            <w:sz w:val="18"/>
            <w:szCs w:val="18"/>
            <w:u w:val="single" w:color="auto"/>
            <w:color w:val="0000EE"/>
          </w:rPr>
          <w:t>registration statement on Form F-1 (file no. 333-227497), filed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163">
        <w:r>
          <w:rPr>
            <w:rFonts w:ascii="Times New Roman" w:cs="Times New Roman" w:eastAsia="Times New Roman" w:hAnsi="Times New Roman"/>
            <w:sz w:val="18"/>
            <w:szCs w:val="18"/>
            <w:u w:val="single" w:color="auto"/>
            <w:color w:val="0000EE"/>
          </w:rPr>
          <w:t>September 24, 2018)</w:t>
        </w:r>
      </w:hyperlink>
    </w:p>
    <w:p>
      <w:pPr>
        <w:spacing w:after="0" w:line="163"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800" w:space="400"/>
            <w:col w:w="8720"/>
          </w:cols>
          <w:pgMar w:left="980" w:top="513" w:right="99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3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7"/>
              </w:rPr>
              <w:t>2.2</w:t>
            </w:r>
          </w:p>
        </w:tc>
        <w:tc>
          <w:tcPr>
            <w:tcW w:w="86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Registrant’s Specimen Certificate for Ordinary Shares (incorporated by reference to Exhibit 4.2 of the Registrant’s</w:t>
              </w:r>
            </w:hyperlink>
          </w:p>
        </w:tc>
      </w:tr>
      <w:tr>
        <w:trPr>
          <w:trHeight w:val="196"/>
        </w:trPr>
        <w:tc>
          <w:tcPr>
            <w:tcW w:w="1300" w:type="dxa"/>
            <w:vAlign w:val="bottom"/>
          </w:tcPr>
          <w:p>
            <w:pPr>
              <w:spacing w:after="0"/>
              <w:rPr>
                <w:sz w:val="17"/>
                <w:szCs w:val="17"/>
                <w:color w:val="auto"/>
              </w:rPr>
            </w:pPr>
          </w:p>
        </w:tc>
        <w:tc>
          <w:tcPr>
            <w:tcW w:w="86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registration statement on Form F-1 (file no. 333-227497), as amended, filed with the Securities and Exchange</w:t>
              </w:r>
            </w:hyperlink>
          </w:p>
        </w:tc>
      </w:tr>
      <w:tr>
        <w:trPr>
          <w:trHeight w:val="196"/>
        </w:trPr>
        <w:tc>
          <w:tcPr>
            <w:tcW w:w="1300" w:type="dxa"/>
            <w:vAlign w:val="bottom"/>
          </w:tcPr>
          <w:p>
            <w:pPr>
              <w:spacing w:after="0"/>
              <w:rPr>
                <w:sz w:val="17"/>
                <w:szCs w:val="17"/>
                <w:color w:val="auto"/>
              </w:rPr>
            </w:pPr>
          </w:p>
        </w:tc>
        <w:tc>
          <w:tcPr>
            <w:tcW w:w="8620" w:type="dxa"/>
            <w:vAlign w:val="bottom"/>
            <w:gridSpan w:val="10"/>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Commission on October 9, 2018)</w:t>
              </w:r>
            </w:hyperlink>
          </w:p>
        </w:tc>
      </w:tr>
      <w:tr>
        <w:trPr>
          <w:trHeight w:val="20"/>
        </w:trPr>
        <w:tc>
          <w:tcPr>
            <w:tcW w:w="13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7"/>
              </w:rPr>
              <w:t>2.3</w:t>
            </w:r>
          </w:p>
        </w:tc>
        <w:tc>
          <w:tcPr>
            <w:tcW w:w="86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Deposit Agreement dated October 18, 2018 among the Registrant, the depositary and holder of the American</w:t>
              </w:r>
            </w:hyperlink>
          </w:p>
        </w:tc>
      </w:tr>
      <w:tr>
        <w:trPr>
          <w:trHeight w:val="196"/>
        </w:trPr>
        <w:tc>
          <w:tcPr>
            <w:tcW w:w="1300" w:type="dxa"/>
            <w:vAlign w:val="bottom"/>
          </w:tcPr>
          <w:p>
            <w:pPr>
              <w:spacing w:after="0"/>
              <w:rPr>
                <w:sz w:val="17"/>
                <w:szCs w:val="17"/>
                <w:color w:val="auto"/>
              </w:rPr>
            </w:pPr>
          </w:p>
        </w:tc>
        <w:tc>
          <w:tcPr>
            <w:tcW w:w="86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Depositary Receipts (incorporated by reference to Exhibit 4.3 of the Registrant’s registration statement on Form S-8</w:t>
              </w:r>
            </w:hyperlink>
          </w:p>
        </w:tc>
      </w:tr>
      <w:tr>
        <w:trPr>
          <w:trHeight w:val="196"/>
        </w:trPr>
        <w:tc>
          <w:tcPr>
            <w:tcW w:w="1300" w:type="dxa"/>
            <w:vAlign w:val="bottom"/>
          </w:tcPr>
          <w:p>
            <w:pPr>
              <w:spacing w:after="0"/>
              <w:rPr>
                <w:sz w:val="17"/>
                <w:szCs w:val="17"/>
                <w:color w:val="auto"/>
              </w:rPr>
            </w:pPr>
          </w:p>
        </w:tc>
        <w:tc>
          <w:tcPr>
            <w:tcW w:w="78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(file no. 333229190), as amended, filed with the Securities and Exchange Commission on January 11, 2019)</w:t>
              </w:r>
            </w:hyperlink>
          </w:p>
        </w:tc>
        <w:tc>
          <w:tcPr>
            <w:tcW w:w="820" w:type="dxa"/>
            <w:vAlign w:val="bottom"/>
            <w:gridSpan w:val="3"/>
          </w:tcPr>
          <w:p>
            <w:pPr>
              <w:spacing w:after="0"/>
              <w:rPr>
                <w:sz w:val="17"/>
                <w:szCs w:val="17"/>
                <w:color w:val="auto"/>
              </w:rPr>
            </w:pPr>
          </w:p>
        </w:tc>
      </w:tr>
      <w:tr>
        <w:trPr>
          <w:trHeight w:val="412"/>
        </w:trPr>
        <w:tc>
          <w:tcPr>
            <w:tcW w:w="13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7"/>
              </w:rPr>
              <w:t>2.4</w:t>
            </w:r>
          </w:p>
        </w:tc>
        <w:tc>
          <w:tcPr>
            <w:tcW w:w="86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Description of American Depositary Shares of the Registrant (incorporated by reference to Exhibit 2.5 to the annual</w:t>
              </w:r>
            </w:hyperlink>
          </w:p>
        </w:tc>
      </w:tr>
      <w:tr>
        <w:trPr>
          <w:trHeight w:val="196"/>
        </w:trPr>
        <w:tc>
          <w:tcPr>
            <w:tcW w:w="1300" w:type="dxa"/>
            <w:vAlign w:val="bottom"/>
          </w:tcPr>
          <w:p>
            <w:pPr>
              <w:spacing w:after="0"/>
              <w:rPr>
                <w:sz w:val="17"/>
                <w:szCs w:val="17"/>
                <w:color w:val="auto"/>
              </w:rPr>
            </w:pPr>
          </w:p>
        </w:tc>
        <w:tc>
          <w:tcPr>
            <w:tcW w:w="86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report on Form 20-F (file no. 001 - 38696) filed by the Registrant with the Securities and Exchange Commission on</w:t>
              </w:r>
            </w:hyperlink>
          </w:p>
        </w:tc>
      </w:tr>
      <w:tr>
        <w:trPr>
          <w:trHeight w:val="196"/>
        </w:trPr>
        <w:tc>
          <w:tcPr>
            <w:tcW w:w="1300" w:type="dxa"/>
            <w:vAlign w:val="bottom"/>
          </w:tcPr>
          <w:p>
            <w:pPr>
              <w:spacing w:after="0"/>
              <w:rPr>
                <w:sz w:val="17"/>
                <w:szCs w:val="17"/>
                <w:color w:val="auto"/>
              </w:rPr>
            </w:pPr>
          </w:p>
        </w:tc>
        <w:tc>
          <w:tcPr>
            <w:tcW w:w="11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66">
              <w:r>
                <w:rPr>
                  <w:rFonts w:ascii="Times New Roman" w:cs="Times New Roman" w:eastAsia="Times New Roman" w:hAnsi="Times New Roman"/>
                  <w:sz w:val="18"/>
                  <w:szCs w:val="18"/>
                  <w:color w:val="0000EE"/>
                  <w:w w:val="98"/>
                </w:rPr>
                <w:t>April 24, 2020)</w:t>
              </w:r>
            </w:hyperlink>
          </w:p>
        </w:tc>
        <w:tc>
          <w:tcPr>
            <w:tcW w:w="7500" w:type="dxa"/>
            <w:vAlign w:val="bottom"/>
            <w:gridSpan w:val="8"/>
          </w:tcPr>
          <w:p>
            <w:pPr>
              <w:spacing w:after="0"/>
              <w:rPr>
                <w:sz w:val="17"/>
                <w:szCs w:val="17"/>
                <w:color w:val="auto"/>
              </w:rPr>
            </w:pPr>
          </w:p>
        </w:tc>
      </w:tr>
      <w:tr>
        <w:trPr>
          <w:trHeight w:val="412"/>
        </w:trPr>
        <w:tc>
          <w:tcPr>
            <w:tcW w:w="13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7"/>
              </w:rPr>
              <w:t>2.5</w:t>
            </w:r>
          </w:p>
        </w:tc>
        <w:tc>
          <w:tcPr>
            <w:tcW w:w="86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Description of Ordinary Shares of the Registrant (incorporated by reference to Exhibit 2.6 to the annual report on Form</w:t>
              </w:r>
            </w:hyperlink>
          </w:p>
        </w:tc>
      </w:tr>
      <w:tr>
        <w:trPr>
          <w:trHeight w:val="196"/>
        </w:trPr>
        <w:tc>
          <w:tcPr>
            <w:tcW w:w="1300" w:type="dxa"/>
            <w:vAlign w:val="bottom"/>
          </w:tcPr>
          <w:p>
            <w:pPr>
              <w:spacing w:after="0"/>
              <w:rPr>
                <w:sz w:val="17"/>
                <w:szCs w:val="17"/>
                <w:color w:val="auto"/>
              </w:rPr>
            </w:pPr>
          </w:p>
        </w:tc>
        <w:tc>
          <w:tcPr>
            <w:tcW w:w="8620" w:type="dxa"/>
            <w:vAlign w:val="bottom"/>
            <w:gridSpan w:val="10"/>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20-F (file no. 001 - 38696) filed by the Registrant with the Securities and Exchange Commission on April 24, 2020)</w:t>
              </w:r>
            </w:hyperlink>
          </w:p>
        </w:tc>
      </w:tr>
      <w:tr>
        <w:trPr>
          <w:trHeight w:val="20"/>
        </w:trPr>
        <w:tc>
          <w:tcPr>
            <w:tcW w:w="13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8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7"/>
              </w:rPr>
              <w:t>4.1</w:t>
            </w:r>
          </w:p>
        </w:tc>
        <w:tc>
          <w:tcPr>
            <w:tcW w:w="86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Amended and Restated 2016 Global Share Incentive Plan of the Registrant (incorporated by reference to Exhibit 10.1</w:t>
              </w:r>
            </w:hyperlink>
          </w:p>
        </w:tc>
      </w:tr>
      <w:tr>
        <w:trPr>
          <w:trHeight w:val="196"/>
        </w:trPr>
        <w:tc>
          <w:tcPr>
            <w:tcW w:w="1300" w:type="dxa"/>
            <w:vAlign w:val="bottom"/>
          </w:tcPr>
          <w:p>
            <w:pPr>
              <w:spacing w:after="0"/>
              <w:rPr>
                <w:sz w:val="17"/>
                <w:szCs w:val="17"/>
                <w:color w:val="auto"/>
              </w:rPr>
            </w:pPr>
          </w:p>
        </w:tc>
        <w:tc>
          <w:tcPr>
            <w:tcW w:w="86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of the Registrant’s Registration Statement on Form F-1 (file no. 333-227497) filed with the Securities and Exchange</w:t>
              </w:r>
            </w:hyperlink>
          </w:p>
        </w:tc>
      </w:tr>
      <w:tr>
        <w:trPr>
          <w:trHeight w:val="196"/>
        </w:trPr>
        <w:tc>
          <w:tcPr>
            <w:tcW w:w="1300" w:type="dxa"/>
            <w:vAlign w:val="bottom"/>
          </w:tcPr>
          <w:p>
            <w:pPr>
              <w:spacing w:after="0"/>
              <w:rPr>
                <w:sz w:val="17"/>
                <w:szCs w:val="17"/>
                <w:color w:val="auto"/>
              </w:rPr>
            </w:pPr>
          </w:p>
        </w:tc>
        <w:tc>
          <w:tcPr>
            <w:tcW w:w="8620" w:type="dxa"/>
            <w:vAlign w:val="bottom"/>
            <w:gridSpan w:val="10"/>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Commission on September 24, 2018)</w:t>
              </w:r>
            </w:hyperlink>
          </w:p>
        </w:tc>
      </w:tr>
      <w:tr>
        <w:trPr>
          <w:trHeight w:val="20"/>
        </w:trPr>
        <w:tc>
          <w:tcPr>
            <w:tcW w:w="13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7"/>
              </w:rPr>
              <w:t>4.2</w:t>
            </w:r>
          </w:p>
        </w:tc>
        <w:tc>
          <w:tcPr>
            <w:tcW w:w="86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2018 Share Incentive Plan of the Registrant (incorporated by reference to Exhibit 10.2 of the Registrant’s Registration</w:t>
              </w:r>
            </w:hyperlink>
          </w:p>
        </w:tc>
      </w:tr>
      <w:tr>
        <w:trPr>
          <w:trHeight w:val="196"/>
        </w:trPr>
        <w:tc>
          <w:tcPr>
            <w:tcW w:w="1300" w:type="dxa"/>
            <w:vAlign w:val="bottom"/>
          </w:tcPr>
          <w:p>
            <w:pPr>
              <w:spacing w:after="0"/>
              <w:rPr>
                <w:sz w:val="17"/>
                <w:szCs w:val="17"/>
                <w:color w:val="auto"/>
              </w:rPr>
            </w:pPr>
          </w:p>
        </w:tc>
        <w:tc>
          <w:tcPr>
            <w:tcW w:w="86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Statement on Form F-1 (file no. 333-227497) filed with the Securities and Exchange Commission on September 24,</w:t>
              </w:r>
            </w:hyperlink>
          </w:p>
        </w:tc>
      </w:tr>
      <w:tr>
        <w:trPr>
          <w:trHeight w:val="196"/>
        </w:trPr>
        <w:tc>
          <w:tcPr>
            <w:tcW w:w="130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69">
              <w:r>
                <w:rPr>
                  <w:rFonts w:ascii="Times New Roman" w:cs="Times New Roman" w:eastAsia="Times New Roman" w:hAnsi="Times New Roman"/>
                  <w:sz w:val="18"/>
                  <w:szCs w:val="18"/>
                  <w:color w:val="0000EE"/>
                  <w:w w:val="95"/>
                </w:rPr>
                <w:t>2018)</w:t>
              </w:r>
            </w:hyperlink>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7"/>
              </w:rPr>
              <w:t>4.3</w:t>
            </w:r>
          </w:p>
        </w:tc>
        <w:tc>
          <w:tcPr>
            <w:tcW w:w="86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Form of Employment Agreement between the Registrant and its executive officers (incorporated by reference to</w:t>
              </w:r>
            </w:hyperlink>
          </w:p>
        </w:tc>
      </w:tr>
      <w:tr>
        <w:trPr>
          <w:trHeight w:val="196"/>
        </w:trPr>
        <w:tc>
          <w:tcPr>
            <w:tcW w:w="1300" w:type="dxa"/>
            <w:vAlign w:val="bottom"/>
          </w:tcPr>
          <w:p>
            <w:pPr>
              <w:spacing w:after="0"/>
              <w:rPr>
                <w:sz w:val="17"/>
                <w:szCs w:val="17"/>
                <w:color w:val="auto"/>
              </w:rPr>
            </w:pPr>
          </w:p>
        </w:tc>
        <w:tc>
          <w:tcPr>
            <w:tcW w:w="86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Exhibit 10.4 of the Registrant’s registration statement on Form F-1 (file no. 333-227497), filed with the Securities and</w:t>
              </w:r>
            </w:hyperlink>
          </w:p>
        </w:tc>
      </w:tr>
      <w:tr>
        <w:trPr>
          <w:trHeight w:val="196"/>
        </w:trPr>
        <w:tc>
          <w:tcPr>
            <w:tcW w:w="1300" w:type="dxa"/>
            <w:vAlign w:val="bottom"/>
          </w:tcPr>
          <w:p>
            <w:pPr>
              <w:spacing w:after="0"/>
              <w:rPr>
                <w:sz w:val="17"/>
                <w:szCs w:val="17"/>
                <w:color w:val="auto"/>
              </w:rPr>
            </w:pPr>
          </w:p>
        </w:tc>
        <w:tc>
          <w:tcPr>
            <w:tcW w:w="8620" w:type="dxa"/>
            <w:vAlign w:val="bottom"/>
            <w:gridSpan w:val="10"/>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Exchange Commission on September 24, 2018)</w:t>
              </w:r>
            </w:hyperlink>
          </w:p>
        </w:tc>
      </w:tr>
      <w:tr>
        <w:trPr>
          <w:trHeight w:val="20"/>
        </w:trPr>
        <w:tc>
          <w:tcPr>
            <w:tcW w:w="1300" w:type="dxa"/>
            <w:vAlign w:val="bottom"/>
          </w:tcPr>
          <w:p>
            <w:pPr>
              <w:spacing w:after="0" w:line="20" w:lineRule="exact"/>
              <w:rPr>
                <w:sz w:val="1"/>
                <w:szCs w:val="1"/>
                <w:color w:val="auto"/>
              </w:rPr>
            </w:pPr>
          </w:p>
        </w:tc>
        <w:tc>
          <w:tcPr>
            <w:tcW w:w="3440" w:type="dxa"/>
            <w:vAlign w:val="bottom"/>
            <w:gridSpan w:val="5"/>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7"/>
              </w:rPr>
              <w:t>4.4</w:t>
            </w:r>
          </w:p>
        </w:tc>
        <w:tc>
          <w:tcPr>
            <w:tcW w:w="86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Form of Indemnification Agreement between the Registrant and its directors and executive officers (incorporated by</w:t>
              </w:r>
            </w:hyperlink>
          </w:p>
        </w:tc>
      </w:tr>
      <w:tr>
        <w:trPr>
          <w:trHeight w:val="196"/>
        </w:trPr>
        <w:tc>
          <w:tcPr>
            <w:tcW w:w="1300" w:type="dxa"/>
            <w:vAlign w:val="bottom"/>
          </w:tcPr>
          <w:p>
            <w:pPr>
              <w:spacing w:after="0"/>
              <w:rPr>
                <w:sz w:val="17"/>
                <w:szCs w:val="17"/>
                <w:color w:val="auto"/>
              </w:rPr>
            </w:pPr>
          </w:p>
        </w:tc>
        <w:tc>
          <w:tcPr>
            <w:tcW w:w="8620" w:type="dxa"/>
            <w:vAlign w:val="bottom"/>
            <w:gridSpan w:val="10"/>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reference to Exhibit 10.3 of the Registrant’s registration statement on Form F-1 (file no. 333-227497), filed with the</w:t>
              </w:r>
            </w:hyperlink>
          </w:p>
        </w:tc>
      </w:tr>
      <w:tr>
        <w:trPr>
          <w:trHeight w:val="196"/>
        </w:trPr>
        <w:tc>
          <w:tcPr>
            <w:tcW w:w="1300" w:type="dxa"/>
            <w:vAlign w:val="bottom"/>
          </w:tcPr>
          <w:p>
            <w:pPr>
              <w:spacing w:after="0"/>
              <w:rPr>
                <w:sz w:val="17"/>
                <w:szCs w:val="17"/>
                <w:color w:val="auto"/>
              </w:rPr>
            </w:pPr>
          </w:p>
        </w:tc>
        <w:tc>
          <w:tcPr>
            <w:tcW w:w="860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Securities and Exchange Commission on September 24, 2018)</w:t>
              </w:r>
            </w:hyperlink>
          </w:p>
        </w:tc>
        <w:tc>
          <w:tcPr>
            <w:tcW w:w="20" w:type="dxa"/>
            <w:vAlign w:val="bottom"/>
          </w:tcPr>
          <w:p>
            <w:pPr>
              <w:spacing w:after="0"/>
              <w:rPr>
                <w:sz w:val="17"/>
                <w:szCs w:val="17"/>
                <w:color w:val="auto"/>
              </w:rPr>
            </w:pPr>
          </w:p>
        </w:tc>
      </w:tr>
      <w:tr>
        <w:trPr>
          <w:trHeight w:val="669"/>
        </w:trPr>
        <w:tc>
          <w:tcPr>
            <w:tcW w:w="1300" w:type="dxa"/>
            <w:vAlign w:val="bottom"/>
          </w:tcPr>
          <w:p>
            <w:pPr>
              <w:spacing w:after="0"/>
              <w:rPr>
                <w:sz w:val="24"/>
                <w:szCs w:val="24"/>
                <w:color w:val="auto"/>
              </w:rPr>
            </w:pPr>
          </w:p>
        </w:tc>
        <w:tc>
          <w:tcPr>
            <w:tcW w:w="4500" w:type="dxa"/>
            <w:vAlign w:val="bottom"/>
            <w:tcBorders>
              <w:top w:val="single" w:sz="8" w:color="0000EE"/>
            </w:tcBorders>
            <w:gridSpan w:val="6"/>
          </w:tcPr>
          <w:p>
            <w:pPr>
              <w:ind w:left="3520"/>
              <w:spacing w:after="0"/>
              <w:rPr>
                <w:sz w:val="20"/>
                <w:szCs w:val="20"/>
                <w:color w:val="auto"/>
              </w:rPr>
            </w:pPr>
            <w:r>
              <w:rPr>
                <w:rFonts w:ascii="Times New Roman" w:cs="Times New Roman" w:eastAsia="Times New Roman" w:hAnsi="Times New Roman"/>
                <w:sz w:val="18"/>
                <w:szCs w:val="18"/>
                <w:color w:val="auto"/>
              </w:rPr>
              <w:t>141</w:t>
            </w:r>
          </w:p>
        </w:tc>
        <w:tc>
          <w:tcPr>
            <w:tcW w:w="3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1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86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English translation of the Amended and Restated Exclusive Business Cooperation Agreement among the Registrant’s</w:t>
              </w:r>
            </w:hyperlink>
          </w:p>
        </w:tc>
      </w:tr>
      <w:tr>
        <w:trPr>
          <w:trHeight w:val="196"/>
        </w:trPr>
        <w:tc>
          <w:tcPr>
            <w:tcW w:w="1300" w:type="dxa"/>
            <w:vAlign w:val="bottom"/>
          </w:tcPr>
          <w:p>
            <w:pPr>
              <w:spacing w:after="0"/>
              <w:rPr>
                <w:sz w:val="17"/>
                <w:szCs w:val="17"/>
                <w:color w:val="auto"/>
              </w:rPr>
            </w:pPr>
          </w:p>
        </w:tc>
        <w:tc>
          <w:tcPr>
            <w:tcW w:w="86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WFOE, Beijing Niudian and shareholders of Beijing Niudian dated July 20, 2018 (incorporated by reference to</w:t>
              </w:r>
            </w:hyperlink>
          </w:p>
        </w:tc>
      </w:tr>
      <w:tr>
        <w:trPr>
          <w:trHeight w:val="196"/>
        </w:trPr>
        <w:tc>
          <w:tcPr>
            <w:tcW w:w="1300" w:type="dxa"/>
            <w:vAlign w:val="bottom"/>
          </w:tcPr>
          <w:p>
            <w:pPr>
              <w:spacing w:after="0"/>
              <w:rPr>
                <w:sz w:val="17"/>
                <w:szCs w:val="17"/>
                <w:color w:val="auto"/>
              </w:rPr>
            </w:pPr>
          </w:p>
        </w:tc>
        <w:tc>
          <w:tcPr>
            <w:tcW w:w="86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Exhibit 10.7 of the Registrant’s registration statement on Form F-1 (file no. 333-227497), filed with the Securities and</w:t>
              </w:r>
            </w:hyperlink>
          </w:p>
        </w:tc>
      </w:tr>
      <w:tr>
        <w:trPr>
          <w:trHeight w:val="196"/>
        </w:trPr>
        <w:tc>
          <w:tcPr>
            <w:tcW w:w="1300" w:type="dxa"/>
            <w:vAlign w:val="bottom"/>
          </w:tcPr>
          <w:p>
            <w:pPr>
              <w:spacing w:after="0"/>
              <w:rPr>
                <w:sz w:val="17"/>
                <w:szCs w:val="17"/>
                <w:color w:val="auto"/>
              </w:rPr>
            </w:pPr>
          </w:p>
        </w:tc>
        <w:tc>
          <w:tcPr>
            <w:tcW w:w="8620" w:type="dxa"/>
            <w:vAlign w:val="bottom"/>
            <w:gridSpan w:val="12"/>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Exchange Commission on September 24, 2018)</w:t>
              </w:r>
            </w:hyperlink>
          </w:p>
        </w:tc>
      </w:tr>
      <w:tr>
        <w:trPr>
          <w:trHeight w:val="20"/>
        </w:trPr>
        <w:tc>
          <w:tcPr>
            <w:tcW w:w="13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86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Motor Purchase and Sales Contract between Bosch (Ning) E-scooter Motor Co., Ltd. and Jiangsu Xiaoniu Electric</w:t>
              </w:r>
            </w:hyperlink>
          </w:p>
        </w:tc>
      </w:tr>
      <w:tr>
        <w:trPr>
          <w:trHeight w:val="196"/>
        </w:trPr>
        <w:tc>
          <w:tcPr>
            <w:tcW w:w="1300" w:type="dxa"/>
            <w:vAlign w:val="bottom"/>
          </w:tcPr>
          <w:p>
            <w:pPr>
              <w:spacing w:after="0"/>
              <w:rPr>
                <w:sz w:val="17"/>
                <w:szCs w:val="17"/>
                <w:color w:val="auto"/>
              </w:rPr>
            </w:pPr>
          </w:p>
        </w:tc>
        <w:tc>
          <w:tcPr>
            <w:tcW w:w="86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Technology Co., Ltd. dated March 21, 2017 (incorporated by reference to Exhibit 10.12 of the Registrant’s Registration</w:t>
              </w:r>
            </w:hyperlink>
          </w:p>
        </w:tc>
      </w:tr>
      <w:tr>
        <w:trPr>
          <w:trHeight w:val="196"/>
        </w:trPr>
        <w:tc>
          <w:tcPr>
            <w:tcW w:w="1300" w:type="dxa"/>
            <w:vAlign w:val="bottom"/>
          </w:tcPr>
          <w:p>
            <w:pPr>
              <w:spacing w:after="0"/>
              <w:rPr>
                <w:sz w:val="17"/>
                <w:szCs w:val="17"/>
                <w:color w:val="auto"/>
              </w:rPr>
            </w:pPr>
          </w:p>
        </w:tc>
        <w:tc>
          <w:tcPr>
            <w:tcW w:w="86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Statement on Form F-1 (file no. 333227497) filed with the Securities and Exchange Commission on September 24,</w:t>
              </w:r>
            </w:hyperlink>
          </w:p>
        </w:tc>
      </w:tr>
      <w:tr>
        <w:trPr>
          <w:trHeight w:val="196"/>
        </w:trPr>
        <w:tc>
          <w:tcPr>
            <w:tcW w:w="130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73">
              <w:r>
                <w:rPr>
                  <w:rFonts w:ascii="Times New Roman" w:cs="Times New Roman" w:eastAsia="Times New Roman" w:hAnsi="Times New Roman"/>
                  <w:sz w:val="18"/>
                  <w:szCs w:val="18"/>
                  <w:color w:val="0000EE"/>
                  <w:w w:val="95"/>
                </w:rPr>
                <w:t>2018)</w:t>
              </w:r>
            </w:hyperlink>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86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Manufacturing Cooperation Agreement Between Jiangsu Xiaoniu Diandong Technology Co., Ltd. and Changzhou</w:t>
              </w:r>
            </w:hyperlink>
          </w:p>
        </w:tc>
      </w:tr>
      <w:tr>
        <w:trPr>
          <w:trHeight w:val="196"/>
        </w:trPr>
        <w:tc>
          <w:tcPr>
            <w:tcW w:w="1300" w:type="dxa"/>
            <w:vAlign w:val="bottom"/>
          </w:tcPr>
          <w:p>
            <w:pPr>
              <w:spacing w:after="0"/>
              <w:rPr>
                <w:sz w:val="17"/>
                <w:szCs w:val="17"/>
                <w:color w:val="auto"/>
              </w:rPr>
            </w:pPr>
          </w:p>
        </w:tc>
        <w:tc>
          <w:tcPr>
            <w:tcW w:w="86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Shanqi Motorcycle Co., Ltd. dated December 1, 2018 (incorporated by reference to Exhibit 4.13 of the Registrant’s</w:t>
              </w:r>
            </w:hyperlink>
          </w:p>
        </w:tc>
      </w:tr>
      <w:tr>
        <w:trPr>
          <w:trHeight w:val="196"/>
        </w:trPr>
        <w:tc>
          <w:tcPr>
            <w:tcW w:w="1300" w:type="dxa"/>
            <w:vAlign w:val="bottom"/>
          </w:tcPr>
          <w:p>
            <w:pPr>
              <w:spacing w:after="0"/>
              <w:rPr>
                <w:sz w:val="17"/>
                <w:szCs w:val="17"/>
                <w:color w:val="auto"/>
              </w:rPr>
            </w:pPr>
          </w:p>
        </w:tc>
        <w:tc>
          <w:tcPr>
            <w:tcW w:w="86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Annual Report on Form 20-F (file no. 001-38696) filed with the Securities and Exchange Commission on April 25,</w:t>
              </w:r>
            </w:hyperlink>
          </w:p>
        </w:tc>
      </w:tr>
      <w:tr>
        <w:trPr>
          <w:trHeight w:val="196"/>
        </w:trPr>
        <w:tc>
          <w:tcPr>
            <w:tcW w:w="130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74">
              <w:r>
                <w:rPr>
                  <w:rFonts w:ascii="Times New Roman" w:cs="Times New Roman" w:eastAsia="Times New Roman" w:hAnsi="Times New Roman"/>
                  <w:sz w:val="18"/>
                  <w:szCs w:val="18"/>
                  <w:color w:val="0000EE"/>
                  <w:w w:val="95"/>
                </w:rPr>
                <w:t>2019)</w:t>
              </w:r>
            </w:hyperlink>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8620" w:type="dxa"/>
            <w:vAlign w:val="bottom"/>
            <w:gridSpan w:val="12"/>
          </w:tcPr>
          <w:p>
            <w:pPr>
              <w:spacing w:after="0"/>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English translation of the Powers of Attorney among the Registrant’s WFOE, Beijing Niudian and shareholders of</w:t>
              </w:r>
            </w:hyperlink>
          </w:p>
        </w:tc>
      </w:tr>
      <w:tr>
        <w:trPr>
          <w:trHeight w:val="20"/>
        </w:trPr>
        <w:tc>
          <w:tcPr>
            <w:tcW w:w="130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86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Beijing Niudian (incorporated by reference to Exhibit 4.9 of the Registrant’s Annual Report on Form 20-F (file no.</w:t>
              </w:r>
            </w:hyperlink>
          </w:p>
        </w:tc>
      </w:tr>
      <w:tr>
        <w:trPr>
          <w:trHeight w:val="196"/>
        </w:trPr>
        <w:tc>
          <w:tcPr>
            <w:tcW w:w="1300" w:type="dxa"/>
            <w:vAlign w:val="bottom"/>
          </w:tcPr>
          <w:p>
            <w:pPr>
              <w:spacing w:after="0"/>
              <w:rPr>
                <w:sz w:val="17"/>
                <w:szCs w:val="17"/>
                <w:color w:val="auto"/>
              </w:rPr>
            </w:pPr>
          </w:p>
        </w:tc>
        <w:tc>
          <w:tcPr>
            <w:tcW w:w="8620" w:type="dxa"/>
            <w:vAlign w:val="bottom"/>
            <w:gridSpan w:val="12"/>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001-38696) filed with the Securities and Exchange Commission on April 18, 2025)</w:t>
              </w:r>
            </w:hyperlink>
          </w:p>
        </w:tc>
      </w:tr>
      <w:tr>
        <w:trPr>
          <w:trHeight w:val="20"/>
        </w:trPr>
        <w:tc>
          <w:tcPr>
            <w:tcW w:w="130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86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English translation of the Third Amended and Restated Equity Pledge Agreement among the Registrant’s WFOE,</w:t>
              </w:r>
            </w:hyperlink>
          </w:p>
        </w:tc>
      </w:tr>
      <w:tr>
        <w:trPr>
          <w:trHeight w:val="196"/>
        </w:trPr>
        <w:tc>
          <w:tcPr>
            <w:tcW w:w="1300" w:type="dxa"/>
            <w:vAlign w:val="bottom"/>
          </w:tcPr>
          <w:p>
            <w:pPr>
              <w:spacing w:after="0"/>
              <w:rPr>
                <w:sz w:val="17"/>
                <w:szCs w:val="17"/>
                <w:color w:val="auto"/>
              </w:rPr>
            </w:pPr>
          </w:p>
        </w:tc>
        <w:tc>
          <w:tcPr>
            <w:tcW w:w="86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Beijing Niudian and shareholders of Beijing Niudian dated November 14, 2024 (incorporated by reference to Exhibit</w:t>
              </w:r>
            </w:hyperlink>
          </w:p>
        </w:tc>
      </w:tr>
      <w:tr>
        <w:trPr>
          <w:trHeight w:val="196"/>
        </w:trPr>
        <w:tc>
          <w:tcPr>
            <w:tcW w:w="1300" w:type="dxa"/>
            <w:vAlign w:val="bottom"/>
          </w:tcPr>
          <w:p>
            <w:pPr>
              <w:spacing w:after="0"/>
              <w:rPr>
                <w:sz w:val="17"/>
                <w:szCs w:val="17"/>
                <w:color w:val="auto"/>
              </w:rPr>
            </w:pPr>
          </w:p>
        </w:tc>
        <w:tc>
          <w:tcPr>
            <w:tcW w:w="86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0000EE"/>
                </w:rPr>
                <w:t xml:space="preserve"> of the Registrant’s Annual Report on Form 20-F (file no. 001-38696) filed with the Securities and Exchange</w:t>
              </w:r>
            </w:hyperlink>
          </w:p>
        </w:tc>
      </w:tr>
      <w:tr>
        <w:trPr>
          <w:trHeight w:val="196"/>
        </w:trPr>
        <w:tc>
          <w:tcPr>
            <w:tcW w:w="1300" w:type="dxa"/>
            <w:vAlign w:val="bottom"/>
          </w:tcPr>
          <w:p>
            <w:pPr>
              <w:spacing w:after="0"/>
              <w:rPr>
                <w:sz w:val="17"/>
                <w:szCs w:val="17"/>
                <w:color w:val="auto"/>
              </w:rPr>
            </w:pPr>
          </w:p>
        </w:tc>
        <w:tc>
          <w:tcPr>
            <w:tcW w:w="23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Commission on April 18, 2025)</w:t>
              </w:r>
            </w:hyperlink>
          </w:p>
        </w:tc>
        <w:tc>
          <w:tcPr>
            <w:tcW w:w="6320" w:type="dxa"/>
            <w:vAlign w:val="bottom"/>
            <w:gridSpan w:val="9"/>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86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English translation of the Third Amended and Restated Exclusive Option Agreement among the Registrant’s WFOE,</w:t>
              </w:r>
            </w:hyperlink>
          </w:p>
        </w:tc>
      </w:tr>
      <w:tr>
        <w:trPr>
          <w:trHeight w:val="196"/>
        </w:trPr>
        <w:tc>
          <w:tcPr>
            <w:tcW w:w="1300" w:type="dxa"/>
            <w:vAlign w:val="bottom"/>
          </w:tcPr>
          <w:p>
            <w:pPr>
              <w:spacing w:after="0"/>
              <w:rPr>
                <w:sz w:val="17"/>
                <w:szCs w:val="17"/>
                <w:color w:val="auto"/>
              </w:rPr>
            </w:pPr>
          </w:p>
        </w:tc>
        <w:tc>
          <w:tcPr>
            <w:tcW w:w="86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Beijing Niudian and shareholders of Beijing Niudian dated November 14, 2024 (incorporated by reference to Exhibit</w:t>
              </w:r>
            </w:hyperlink>
          </w:p>
        </w:tc>
      </w:tr>
      <w:tr>
        <w:trPr>
          <w:trHeight w:val="196"/>
        </w:trPr>
        <w:tc>
          <w:tcPr>
            <w:tcW w:w="1300" w:type="dxa"/>
            <w:vAlign w:val="bottom"/>
          </w:tcPr>
          <w:p>
            <w:pPr>
              <w:spacing w:after="0"/>
              <w:rPr>
                <w:sz w:val="17"/>
                <w:szCs w:val="17"/>
                <w:color w:val="auto"/>
              </w:rPr>
            </w:pPr>
          </w:p>
        </w:tc>
        <w:tc>
          <w:tcPr>
            <w:tcW w:w="8620" w:type="dxa"/>
            <w:vAlign w:val="bottom"/>
            <w:gridSpan w:val="12"/>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0000EE"/>
                </w:rPr>
                <w:t xml:space="preserve"> of the Registrant’s Annual Report on Form 20-F (file no. 001-38696) filed with the Securities and Exchange</w:t>
              </w:r>
            </w:hyperlink>
          </w:p>
        </w:tc>
      </w:tr>
      <w:tr>
        <w:trPr>
          <w:trHeight w:val="196"/>
        </w:trPr>
        <w:tc>
          <w:tcPr>
            <w:tcW w:w="130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Commission on April 18, 2025)</w:t>
              </w:r>
            </w:hyperlink>
          </w:p>
        </w:tc>
        <w:tc>
          <w:tcPr>
            <w:tcW w:w="630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78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List of Principal Subsidiaries, the Variable Interest Entity and the Subsidiaries of the Variable Interest Entity</w:t>
            </w:r>
          </w:p>
        </w:tc>
        <w:tc>
          <w:tcPr>
            <w:tcW w:w="820" w:type="dxa"/>
            <w:vAlign w:val="bottom"/>
            <w:gridSpan w:val="2"/>
          </w:tcPr>
          <w:p>
            <w:pPr>
              <w:spacing w:after="0"/>
              <w:rPr>
                <w:sz w:val="24"/>
                <w:szCs w:val="24"/>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8620" w:type="dxa"/>
            <w:vAlign w:val="bottom"/>
            <w:gridSpan w:val="12"/>
          </w:tcPr>
          <w:p>
            <w:pPr>
              <w:spacing w:after="0"/>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Code of Business Conduct and Ethics (incorporated by reference to Exhibit 99.1 of the Registrant’s Registration</w:t>
              </w:r>
            </w:hyperlink>
          </w:p>
        </w:tc>
      </w:tr>
      <w:tr>
        <w:trPr>
          <w:trHeight w:val="20"/>
        </w:trPr>
        <w:tc>
          <w:tcPr>
            <w:tcW w:w="130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8620" w:type="dxa"/>
            <w:vAlign w:val="bottom"/>
            <w:gridSpan w:val="12"/>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Statement on Form F-1 (file no. 333-227497) filed with the Securities and Exchange Commission on September 24,</w:t>
              </w:r>
            </w:hyperlink>
          </w:p>
        </w:tc>
      </w:tr>
      <w:tr>
        <w:trPr>
          <w:trHeight w:val="196"/>
        </w:trPr>
        <w:tc>
          <w:tcPr>
            <w:tcW w:w="130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78">
              <w:r>
                <w:rPr>
                  <w:rFonts w:ascii="Times New Roman" w:cs="Times New Roman" w:eastAsia="Times New Roman" w:hAnsi="Times New Roman"/>
                  <w:sz w:val="18"/>
                  <w:szCs w:val="18"/>
                  <w:color w:val="0000EE"/>
                  <w:w w:val="95"/>
                </w:rPr>
                <w:t>2018)</w:t>
              </w:r>
            </w:hyperlink>
          </w:p>
        </w:tc>
        <w:tc>
          <w:tcPr>
            <w:tcW w:w="15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56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11.2</w:t>
            </w:r>
          </w:p>
        </w:tc>
        <w:tc>
          <w:tcPr>
            <w:tcW w:w="86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Amended and Restated Statement of Policies Governing Material Non-Public Information and the Prevention of</w:t>
              </w:r>
            </w:hyperlink>
          </w:p>
        </w:tc>
      </w:tr>
      <w:tr>
        <w:trPr>
          <w:trHeight w:val="196"/>
        </w:trPr>
        <w:tc>
          <w:tcPr>
            <w:tcW w:w="1300" w:type="dxa"/>
            <w:vAlign w:val="bottom"/>
          </w:tcPr>
          <w:p>
            <w:pPr>
              <w:spacing w:after="0"/>
              <w:rPr>
                <w:sz w:val="17"/>
                <w:szCs w:val="17"/>
                <w:color w:val="auto"/>
              </w:rPr>
            </w:pPr>
          </w:p>
        </w:tc>
        <w:tc>
          <w:tcPr>
            <w:tcW w:w="8620" w:type="dxa"/>
            <w:vAlign w:val="bottom"/>
            <w:gridSpan w:val="12"/>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Insider Trading (incorporated by reference to Exhibit 11.2 of the Registrant’s Annual Report on Form 20-F (file no.</w:t>
              </w:r>
            </w:hyperlink>
          </w:p>
        </w:tc>
      </w:tr>
      <w:tr>
        <w:trPr>
          <w:trHeight w:val="196"/>
        </w:trPr>
        <w:tc>
          <w:tcPr>
            <w:tcW w:w="1300" w:type="dxa"/>
            <w:vAlign w:val="bottom"/>
          </w:tcPr>
          <w:p>
            <w:pPr>
              <w:spacing w:after="0"/>
              <w:rPr>
                <w:sz w:val="17"/>
                <w:szCs w:val="17"/>
                <w:color w:val="auto"/>
              </w:rPr>
            </w:pPr>
          </w:p>
        </w:tc>
        <w:tc>
          <w:tcPr>
            <w:tcW w:w="86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001-38696) filed with the Securities and Exchange Commission on April 18, 2025)</w:t>
              </w:r>
            </w:hyperlink>
          </w:p>
        </w:tc>
        <w:tc>
          <w:tcPr>
            <w:tcW w:w="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74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by Principal Executive Officer Pursuant to Section 302 of the Sarbanes-Oxley Act of 2002</w:t>
            </w:r>
          </w:p>
        </w:tc>
        <w:tc>
          <w:tcPr>
            <w:tcW w:w="1140" w:type="dxa"/>
            <w:vAlign w:val="bottom"/>
            <w:gridSpan w:val="3"/>
          </w:tcPr>
          <w:p>
            <w:pPr>
              <w:spacing w:after="0"/>
              <w:rPr>
                <w:sz w:val="24"/>
                <w:szCs w:val="24"/>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74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by Principal Financial Officer Pursuant to Section 302 of the Sarbanes-Oxley Act of 2002</w:t>
            </w:r>
          </w:p>
        </w:tc>
        <w:tc>
          <w:tcPr>
            <w:tcW w:w="1180" w:type="dxa"/>
            <w:vAlign w:val="bottom"/>
            <w:gridSpan w:val="4"/>
          </w:tcPr>
          <w:p>
            <w:pPr>
              <w:spacing w:after="0"/>
              <w:rPr>
                <w:sz w:val="24"/>
                <w:szCs w:val="24"/>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74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by Principal Executive Officer Pursuant to Section 906 of the Sarbanes-Oxley Act of 2002</w:t>
            </w:r>
          </w:p>
        </w:tc>
        <w:tc>
          <w:tcPr>
            <w:tcW w:w="1140" w:type="dxa"/>
            <w:vAlign w:val="bottom"/>
            <w:gridSpan w:val="3"/>
          </w:tcPr>
          <w:p>
            <w:pPr>
              <w:spacing w:after="0"/>
              <w:rPr>
                <w:sz w:val="24"/>
                <w:szCs w:val="24"/>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13.2**</w:t>
            </w:r>
          </w:p>
        </w:tc>
        <w:tc>
          <w:tcPr>
            <w:tcW w:w="86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by Principal Financial Officer Pursuant to Section 906 of the Sarbanes-Oxley Act of 2002</w:t>
            </w: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15.1*</w:t>
            </w:r>
          </w:p>
        </w:tc>
        <w:tc>
          <w:tcPr>
            <w:tcW w:w="74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Consent of KPMG Huazhen LLP</w:t>
            </w:r>
          </w:p>
        </w:tc>
        <w:tc>
          <w:tcPr>
            <w:tcW w:w="1200" w:type="dxa"/>
            <w:vAlign w:val="bottom"/>
            <w:gridSpan w:val="5"/>
          </w:tcPr>
          <w:p>
            <w:pPr>
              <w:spacing w:after="0"/>
              <w:rPr>
                <w:sz w:val="24"/>
                <w:szCs w:val="24"/>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15.2*</w:t>
            </w:r>
          </w:p>
        </w:tc>
        <w:tc>
          <w:tcPr>
            <w:tcW w:w="19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Consent of DaHui Lawyers</w:t>
            </w:r>
          </w:p>
        </w:tc>
        <w:tc>
          <w:tcPr>
            <w:tcW w:w="420" w:type="dxa"/>
            <w:vAlign w:val="bottom"/>
            <w:tcBorders>
              <w:top w:val="single" w:sz="8" w:color="0000EE"/>
            </w:tcBorders>
            <w:gridSpan w:val="2"/>
          </w:tcPr>
          <w:p>
            <w:pPr>
              <w:spacing w:after="0"/>
              <w:rPr>
                <w:sz w:val="24"/>
                <w:szCs w:val="24"/>
                <w:color w:val="auto"/>
              </w:rPr>
            </w:pPr>
          </w:p>
        </w:tc>
        <w:tc>
          <w:tcPr>
            <w:tcW w:w="6220" w:type="dxa"/>
            <w:vAlign w:val="bottom"/>
            <w:gridSpan w:val="8"/>
          </w:tcPr>
          <w:p>
            <w:pPr>
              <w:spacing w:after="0"/>
              <w:rPr>
                <w:sz w:val="24"/>
                <w:szCs w:val="24"/>
                <w:color w:val="auto"/>
              </w:rPr>
            </w:pPr>
          </w:p>
        </w:tc>
      </w:tr>
    </w:tbl>
    <w:p>
      <w:pPr>
        <w:spacing w:after="0" w:line="225" w:lineRule="exact"/>
        <w:rPr>
          <w:sz w:val="20"/>
          <w:szCs w:val="20"/>
          <w:color w:val="auto"/>
        </w:rPr>
      </w:pPr>
    </w:p>
    <w:p>
      <w:pPr>
        <w:ind w:left="1300" w:hanging="1291"/>
        <w:spacing w:after="0" w:line="282" w:lineRule="auto"/>
        <w:tabs>
          <w:tab w:leader="none" w:pos="1300" w:val="left"/>
        </w:tabs>
        <w:numPr>
          <w:ilvl w:val="0"/>
          <w:numId w:val="76"/>
        </w:numPr>
        <w:rPr>
          <w:rFonts w:ascii="Times New Roman" w:cs="Times New Roman" w:eastAsia="Times New Roman" w:hAnsi="Times New Roman"/>
          <w:sz w:val="18"/>
          <w:szCs w:val="18"/>
          <w:u w:val="single" w:color="auto"/>
          <w:color w:val="0000EE"/>
        </w:rPr>
      </w:pPr>
      <w:hyperlink r:id="rId180">
        <w:r>
          <w:rPr>
            <w:rFonts w:ascii="Times New Roman" w:cs="Times New Roman" w:eastAsia="Times New Roman" w:hAnsi="Times New Roman"/>
            <w:sz w:val="18"/>
            <w:szCs w:val="18"/>
            <w:u w:val="single" w:color="auto"/>
            <w:color w:val="0000EE"/>
          </w:rPr>
          <w:t>Clawback Policy (incorporated by reference to Exhibit 97 of the Registrant’s Annual Report on Form 20-F (file no.</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001-38696) filed with the Securities and Exchange Commission on April 24, 2024)</w:t>
        </w:r>
      </w:hyperlink>
    </w:p>
    <w:p>
      <w:pPr>
        <w:sectPr>
          <w:pgSz w:w="11900" w:h="16838" w:orient="portrait"/>
          <w:cols w:equalWidth="0" w:num="1">
            <w:col w:w="9920"/>
          </w:cols>
          <w:pgMar w:left="980" w:top="513" w:right="999" w:bottom="1440" w:gutter="0" w:footer="0" w:header="0"/>
        </w:sectPr>
      </w:pPr>
    </w:p>
    <w:p>
      <w:pPr>
        <w:spacing w:after="0" w:line="37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479"/>
          </w:cols>
          <w:pgMar w:left="98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101.INS*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101.SCH*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101.LAB*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101.PRE*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Instance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94615</wp:posOffset>
            </wp:positionV>
            <wp:extent cx="156845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2">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0" w:space="520"/>
            <w:col w:w="8179"/>
          </w:cols>
          <w:pgMar w:left="980" w:top="513" w:right="1440" w:bottom="1440" w:gutter="0" w:footer="0" w:header="0"/>
          <w:type w:val="continuous"/>
        </w:sectPr>
      </w:pPr>
    </w:p>
    <w:p>
      <w:pPr>
        <w:spacing w:after="0" w:line="61" w:lineRule="exact"/>
        <w:rPr>
          <w:sz w:val="20"/>
          <w:szCs w:val="20"/>
          <w:color w:val="auto"/>
        </w:rPr>
      </w:pPr>
    </w:p>
    <w:p>
      <w:pPr>
        <w:ind w:left="340" w:hanging="332"/>
        <w:spacing w:after="0"/>
        <w:tabs>
          <w:tab w:leader="none" w:pos="3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63" w:lineRule="exact"/>
        <w:rPr>
          <w:sz w:val="20"/>
          <w:szCs w:val="20"/>
          <w:color w:val="auto"/>
        </w:rPr>
      </w:pPr>
    </w:p>
    <w:p>
      <w:pPr>
        <w:ind w:left="340" w:hanging="332"/>
        <w:spacing w:after="0"/>
        <w:tabs>
          <w:tab w:leader="none" w:pos="3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its annual report on Form 20-F and that it has duly caused and authorized the undersigned to sign this annual report on its behalf.</w:t>
      </w:r>
    </w:p>
    <w:p>
      <w:pPr>
        <w:spacing w:after="0" w:line="13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Niu Technologies</w:t>
      </w:r>
    </w:p>
    <w:p>
      <w:pPr>
        <w:spacing w:after="0" w:line="200" w:lineRule="exact"/>
        <w:rPr>
          <w:sz w:val="20"/>
          <w:szCs w:val="20"/>
          <w:color w:val="auto"/>
        </w:rPr>
      </w:pPr>
    </w:p>
    <w:p>
      <w:pPr>
        <w:spacing w:after="0" w:line="241" w:lineRule="exact"/>
        <w:rPr>
          <w:sz w:val="20"/>
          <w:szCs w:val="20"/>
          <w:color w:val="auto"/>
        </w:rPr>
      </w:pPr>
    </w:p>
    <w:p>
      <w:pPr>
        <w:ind w:left="5000"/>
        <w:spacing w:after="0"/>
        <w:tabs>
          <w:tab w:leader="none" w:pos="5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Yan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17145</wp:posOffset>
            </wp:positionV>
            <wp:extent cx="28714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4">
                      <a:extLst>
                        <a:ext uri="{28A0092B-C50C-407E-A947-70E740481C1C}"/>
                      </a:extLst>
                    </a:blip>
                    <a:srcRect/>
                    <a:stretch>
                      <a:fillRect/>
                    </a:stretch>
                  </pic:blipFill>
                  <pic:spPr bwMode="auto">
                    <a:xfrm>
                      <a:off x="0" y="0"/>
                      <a:ext cx="2871470" cy="8890"/>
                    </a:xfrm>
                    <a:prstGeom prst="rect">
                      <a:avLst/>
                    </a:prstGeom>
                    <a:noFill/>
                  </pic:spPr>
                </pic:pic>
              </a:graphicData>
            </a:graphic>
          </wp:anchor>
        </w:drawing>
      </w:r>
    </w:p>
    <w:p>
      <w:pPr>
        <w:spacing w:after="0" w:line="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Name:Yan Li</w:t>
      </w:r>
    </w:p>
    <w:p>
      <w:pPr>
        <w:spacing w:after="0" w:line="23" w:lineRule="exact"/>
        <w:rPr>
          <w:sz w:val="20"/>
          <w:szCs w:val="20"/>
          <w:color w:val="auto"/>
        </w:rPr>
      </w:pPr>
    </w:p>
    <w:p>
      <w:pPr>
        <w:jc w:val="center"/>
        <w:ind w:left="3900"/>
        <w:spacing w:after="0"/>
        <w:rPr>
          <w:sz w:val="20"/>
          <w:szCs w:val="20"/>
          <w:color w:val="auto"/>
        </w:rPr>
      </w:pPr>
      <w:r>
        <w:rPr>
          <w:rFonts w:ascii="Times New Roman" w:cs="Times New Roman" w:eastAsia="Times New Roman" w:hAnsi="Times New Roman"/>
          <w:sz w:val="18"/>
          <w:szCs w:val="18"/>
          <w:color w:val="auto"/>
        </w:rPr>
        <w:t>Title: Chairman of the Board of Directors</w:t>
      </w:r>
    </w:p>
    <w:p>
      <w:pPr>
        <w:spacing w:after="0" w:line="9" w:lineRule="exact"/>
        <w:rPr>
          <w:sz w:val="20"/>
          <w:szCs w:val="20"/>
          <w:color w:val="auto"/>
        </w:rPr>
      </w:pPr>
    </w:p>
    <w:p>
      <w:pPr>
        <w:jc w:val="center"/>
        <w:ind w:left="3860"/>
        <w:spacing w:after="0"/>
        <w:rPr>
          <w:sz w:val="20"/>
          <w:szCs w:val="20"/>
          <w:color w:val="auto"/>
        </w:rPr>
      </w:pPr>
      <w:r>
        <w:rPr>
          <w:rFonts w:ascii="Times New Roman" w:cs="Times New Roman" w:eastAsia="Times New Roman" w:hAnsi="Times New Roman"/>
          <w:sz w:val="18"/>
          <w:szCs w:val="18"/>
          <w:color w:val="auto"/>
        </w:rPr>
        <w:t>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NIU TECHNOLOGIES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THE CONSOLIDATED FINANCIAL STATEMENTS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8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CONTENTS</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PAGE(S)</w:t>
            </w:r>
          </w:p>
        </w:tc>
      </w:tr>
      <w:tr>
        <w:trPr>
          <w:trHeight w:val="169"/>
        </w:trPr>
        <w:tc>
          <w:tcPr>
            <w:tcW w:w="20" w:type="dxa"/>
            <w:vAlign w:val="bottom"/>
          </w:tcPr>
          <w:p>
            <w:pPr>
              <w:spacing w:after="0"/>
              <w:rPr>
                <w:sz w:val="14"/>
                <w:szCs w:val="14"/>
                <w:color w:val="auto"/>
              </w:rPr>
            </w:pPr>
          </w:p>
        </w:tc>
        <w:tc>
          <w:tcPr>
            <w:tcW w:w="8760" w:type="dxa"/>
            <w:vAlign w:val="bottom"/>
            <w:tcBorders>
              <w:top w:val="single" w:sz="8" w:color="auto"/>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i w:val="1"/>
                <w:iCs w:val="1"/>
                <w:color w:val="000000"/>
              </w:rPr>
              <w:t>(KPMG Huazhen LLP, Beijing, China,</w:t>
            </w:r>
          </w:p>
        </w:tc>
        <w:tc>
          <w:tcPr>
            <w:tcW w:w="2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r>
      <w:tr>
        <w:trPr>
          <w:trHeight w:val="218"/>
        </w:trPr>
        <w:tc>
          <w:tcPr>
            <w:tcW w:w="58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i w:val="1"/>
                <w:iCs w:val="1"/>
                <w:color w:val="auto"/>
              </w:rPr>
              <w:t>Auditor Firm ID:1186)</w:t>
            </w:r>
          </w:p>
        </w:tc>
        <w:tc>
          <w:tcPr>
            <w:tcW w:w="29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F-2 – F-3</w:t>
            </w:r>
          </w:p>
        </w:tc>
      </w:tr>
      <w:tr>
        <w:trPr>
          <w:trHeight w:val="194"/>
        </w:trPr>
        <w:tc>
          <w:tcPr>
            <w:tcW w:w="298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8"/>
              </w:rPr>
              <w:t>CONSOLIDATED BALANCE SHEETS</w:t>
            </w:r>
          </w:p>
        </w:tc>
        <w:tc>
          <w:tcPr>
            <w:tcW w:w="5800" w:type="dxa"/>
            <w:vAlign w:val="bottom"/>
            <w:gridSpan w:val="5"/>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F-4 – F-5</w:t>
            </w:r>
          </w:p>
        </w:tc>
      </w:tr>
      <w:tr>
        <w:trPr>
          <w:trHeight w:val="196"/>
        </w:trPr>
        <w:tc>
          <w:tcPr>
            <w:tcW w:w="48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STATEMENTS OF COMPREHENSIVE LOSS</w:t>
            </w:r>
          </w:p>
        </w:tc>
        <w:tc>
          <w:tcPr>
            <w:tcW w:w="390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196"/>
        </w:trPr>
        <w:tc>
          <w:tcPr>
            <w:tcW w:w="8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CHANGES IN SHAREHOLDERS’ EQUITY</w:t>
            </w:r>
          </w:p>
        </w:tc>
        <w:tc>
          <w:tcPr>
            <w:tcW w:w="24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40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STATEMENTS OF CASH FLOWS</w:t>
            </w:r>
          </w:p>
        </w:tc>
        <w:tc>
          <w:tcPr>
            <w:tcW w:w="2180" w:type="dxa"/>
            <w:vAlign w:val="bottom"/>
            <w:tcBorders>
              <w:top w:val="single" w:sz="8" w:color="0000EE"/>
            </w:tcBorders>
            <w:gridSpan w:val="3"/>
          </w:tcPr>
          <w:p>
            <w:pPr>
              <w:spacing w:after="0"/>
              <w:rPr>
                <w:sz w:val="17"/>
                <w:szCs w:val="17"/>
                <w:color w:val="auto"/>
              </w:rPr>
            </w:pPr>
          </w:p>
        </w:tc>
        <w:tc>
          <w:tcPr>
            <w:tcW w:w="2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196"/>
        </w:trPr>
        <w:tc>
          <w:tcPr>
            <w:tcW w:w="48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NOTES TO THE CONSOLIDATED FINANCIAL STATEMENTS</w:t>
            </w:r>
          </w:p>
        </w:tc>
        <w:tc>
          <w:tcPr>
            <w:tcW w:w="390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F-9 – F-39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Niu Technologies: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Niu Technologies and subsidiaries (the Company) as of December 31, 2024 and 2025, the related consolidated statements of comprehensive loss, changes in shareholders’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2024 and 2025, and the results of its operations and its cash flows for each of the years in the three-year period ended December 31, 2025, in conformity with U.S. generally accepted accounting principles.</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and our report 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17, 2026 expressed an unqualified opinion on the effectiveness of the Company’s internal control over financial reporting.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Timing of revenue recognition for electric scooter sales to offline distributors and business partners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discussed in Notes 2(p) and 16 to the consolidated financial statements, the Company recorded RMB3,896,479,832 of revenues related to electric scooter sales for the year ended December 31, 2025, a portion of which related to electric scooter sales to its domestic offline distributors in mainland China and overseas offline business partners. The transfer of control of the products is satisfied at a point in time. When the Company sells its products to its domestic offline distributors in mainland China, the transfer of control of the products is evidenced by goods receipt notes signed by the domestic offline distributors or their designated carriers, which is generally at the Company’s warehouse. When the Company sells its products to overseas offline business partners, the transfer of control of the products is evidenced by shipping documents dependent upon the terms of the underlying contract.</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identified the evaluation of timing of revenue recognition for electric scooter sales to domestic offline distributors and overseas offline business partners as a critical audit matter. Significant audit effort was required to evaluate the timing of revenue recognition for electric scooter sales to domestic offline distributors and overseas offline business partners.</w:t>
      </w:r>
    </w:p>
    <w:p>
      <w:pPr>
        <w:spacing w:after="0" w:line="17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timing of revenue recognition for electric scooter sales to domestic offline distributors and overseas offline business partners. This included controls related to the Company’s review of underlying contracts, goods receipt notes or shipping documents, and the timing of relevant revenue recognition. For a selection of domestic offline distributors and overseas offline business partners, we independently sent confirmations to confirm the accuracy and occurrence of revenue transactions recorded during the year, and traced to underlying contracts as well as goods receipt notes or shipping documents for the unreturned confirmations. For the remaining offline distributors and business partners, we evaluated the timing of revenue recognized on a sample basis by inspecting the underlying contracts as well as goods receipt notes or shipping documents.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Huazhen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NIU TECHNOLOGIES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vMerge w:val="restart"/>
          </w:tcPr>
          <w:p>
            <w:pPr>
              <w:ind w:left="56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7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vMerge w:val="continue"/>
          </w:tcPr>
          <w:p>
            <w:pPr>
              <w:spacing w:after="0"/>
              <w:rPr>
                <w:sz w:val="10"/>
                <w:szCs w:val="10"/>
                <w:color w:val="auto"/>
              </w:rPr>
            </w:pPr>
          </w:p>
        </w:tc>
        <w:tc>
          <w:tcPr>
            <w:tcW w:w="10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gridSpan w:val="2"/>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right"/>
              <w:ind w:right="328"/>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RMB</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(Note 2(d))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4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2(f)</w:t>
            </w:r>
          </w:p>
        </w:tc>
        <w:tc>
          <w:tcPr>
            <w:tcW w:w="1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630,021,303</w:t>
            </w:r>
          </w:p>
        </w:tc>
        <w:tc>
          <w:tcPr>
            <w:tcW w:w="2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924,738,132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132,235,794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Term deposits</w:t>
            </w:r>
          </w:p>
        </w:tc>
        <w:tc>
          <w:tcPr>
            <w:tcW w:w="4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2(g)</w:t>
            </w:r>
          </w:p>
        </w:tc>
        <w:tc>
          <w:tcPr>
            <w:tcW w:w="1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274,351,895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128,235,695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18,337,460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480" w:type="dxa"/>
            <w:vAlign w:val="bottom"/>
            <w:shd w:val="clear" w:color="auto" w:fill="CCEEFF"/>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2(h)</w:t>
            </w:r>
          </w:p>
        </w:tc>
        <w:tc>
          <w:tcPr>
            <w:tcW w:w="1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216,395,796</w:t>
            </w:r>
          </w:p>
        </w:tc>
        <w:tc>
          <w:tcPr>
            <w:tcW w:w="2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210,864,000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30,153,151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Short-term investments</w:t>
            </w:r>
          </w:p>
        </w:tc>
        <w:tc>
          <w:tcPr>
            <w:tcW w:w="4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w w:val="98"/>
              </w:rPr>
              <w:t>2(i)</w:t>
            </w: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62,661,176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8,960,429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480" w:type="dxa"/>
            <w:vAlign w:val="bottom"/>
            <w:shd w:val="clear" w:color="auto" w:fill="CCEEFF"/>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131,921,419</w:t>
            </w:r>
          </w:p>
        </w:tc>
        <w:tc>
          <w:tcPr>
            <w:tcW w:w="2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37,372,044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5,344,131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4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649,177,719</w:t>
            </w:r>
          </w:p>
        </w:tc>
        <w:tc>
          <w:tcPr>
            <w:tcW w:w="2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652,579,651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93,317,649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Prepayments and other current assets</w:t>
            </w:r>
          </w:p>
        </w:tc>
        <w:tc>
          <w:tcPr>
            <w:tcW w:w="480" w:type="dxa"/>
            <w:vAlign w:val="bottom"/>
            <w:shd w:val="clear" w:color="auto" w:fill="CCEEFF"/>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267,938,339</w:t>
            </w:r>
          </w:p>
        </w:tc>
        <w:tc>
          <w:tcPr>
            <w:tcW w:w="2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343,536,572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49,125,076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4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2,169,806,471</w:t>
            </w:r>
          </w:p>
        </w:tc>
        <w:tc>
          <w:tcPr>
            <w:tcW w:w="18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2,359,987,270</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337,473,690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480" w:type="dxa"/>
            <w:vAlign w:val="bottom"/>
            <w:shd w:val="clear" w:color="auto" w:fill="CCEEFF"/>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320,013,632</w:t>
            </w:r>
          </w:p>
        </w:tc>
        <w:tc>
          <w:tcPr>
            <w:tcW w:w="2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420,173,035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60,083,945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480" w:type="dxa"/>
            <w:vAlign w:val="bottom"/>
          </w:tcPr>
          <w:p>
            <w:pPr>
              <w:spacing w:after="0"/>
              <w:rPr>
                <w:sz w:val="12"/>
                <w:szCs w:val="12"/>
                <w:color w:val="auto"/>
              </w:rPr>
            </w:pPr>
          </w:p>
        </w:tc>
        <w:tc>
          <w:tcPr>
            <w:tcW w:w="1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1,043,801</w:t>
            </w:r>
          </w:p>
        </w:tc>
        <w:tc>
          <w:tcPr>
            <w:tcW w:w="2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776,328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111,013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4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17</w:t>
            </w:r>
          </w:p>
        </w:tc>
        <w:tc>
          <w:tcPr>
            <w:tcW w:w="1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71,223,350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75,954,225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10,861,310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 assets</w:t>
            </w:r>
          </w:p>
        </w:tc>
        <w:tc>
          <w:tcPr>
            <w:tcW w:w="4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14(b)</w:t>
            </w:r>
          </w:p>
        </w:tc>
        <w:tc>
          <w:tcPr>
            <w:tcW w:w="1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31,752,254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57,457,432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8,216,303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480" w:type="dxa"/>
            <w:vAlign w:val="bottom"/>
            <w:shd w:val="clear" w:color="auto" w:fill="CCEEFF"/>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19,318,659</w:t>
            </w:r>
          </w:p>
        </w:tc>
        <w:tc>
          <w:tcPr>
            <w:tcW w:w="2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35,988,114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5,146,232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4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443,351,696</w:t>
            </w:r>
          </w:p>
        </w:tc>
        <w:tc>
          <w:tcPr>
            <w:tcW w:w="18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590,349,134</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84,418,803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480" w:type="dxa"/>
            <w:vAlign w:val="bottom"/>
          </w:tcPr>
          <w:p>
            <w:pPr>
              <w:spacing w:after="0"/>
              <w:rPr>
                <w:sz w:val="16"/>
                <w:szCs w:val="16"/>
                <w:color w:val="auto"/>
              </w:rPr>
            </w:pPr>
          </w:p>
        </w:tc>
        <w:tc>
          <w:tcPr>
            <w:tcW w:w="1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2,613,158,167</w:t>
            </w:r>
          </w:p>
        </w:tc>
        <w:tc>
          <w:tcPr>
            <w:tcW w:w="2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2,950,336,404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421,892,493</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7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Short-term bank borrowings</w:t>
            </w:r>
          </w:p>
        </w:tc>
        <w:tc>
          <w:tcPr>
            <w:tcW w:w="4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200,000,000</w:t>
            </w:r>
          </w:p>
        </w:tc>
        <w:tc>
          <w:tcPr>
            <w:tcW w:w="2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240,000,000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34,319,544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8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Notes payable (including notes payable of VIE without recourse to the Company were</w:t>
            </w:r>
          </w:p>
        </w:tc>
        <w:tc>
          <w:tcPr>
            <w:tcW w:w="480" w:type="dxa"/>
            <w:vAlign w:val="bottom"/>
            <w:vMerge w:val="restart"/>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9</w:t>
            </w:r>
          </w:p>
        </w:tc>
        <w:tc>
          <w:tcPr>
            <w:tcW w:w="1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294,348,768</w:t>
            </w:r>
          </w:p>
        </w:tc>
        <w:tc>
          <w:tcPr>
            <w:tcW w:w="2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394,285,714</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56,382,107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RMB294,348,768 and RMB394,285,714 as of December 31, 2024 and 2025, respectively)</w:t>
            </w:r>
          </w:p>
        </w:tc>
        <w:tc>
          <w:tcPr>
            <w:tcW w:w="480" w:type="dxa"/>
            <w:vAlign w:val="bottom"/>
            <w:vMerge w:val="continue"/>
            <w:shd w:val="clear" w:color="auto" w:fill="CCEEFF"/>
          </w:tcPr>
          <w:p>
            <w:pPr>
              <w:spacing w:after="0"/>
              <w:rPr>
                <w:sz w:val="14"/>
                <w:szCs w:val="14"/>
                <w:color w:val="auto"/>
              </w:rPr>
            </w:pPr>
          </w:p>
        </w:tc>
        <w:tc>
          <w:tcPr>
            <w:tcW w:w="1180" w:type="dxa"/>
            <w:vAlign w:val="bottom"/>
            <w:gridSpan w:val="2"/>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8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Accounts payable (including accounts payable of VIE without recourse to the Company of</w:t>
            </w:r>
          </w:p>
        </w:tc>
        <w:tc>
          <w:tcPr>
            <w:tcW w:w="480" w:type="dxa"/>
            <w:vAlign w:val="bottom"/>
          </w:tcPr>
          <w:p>
            <w:pPr>
              <w:spacing w:after="0"/>
              <w:rPr>
                <w:sz w:val="10"/>
                <w:szCs w:val="10"/>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869,015,140</w:t>
            </w: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704,089,088</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100,683,400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RMB856,557,922 and RMB670,748,944 as of December 31, 2024 and 2025, respectively)</w:t>
            </w:r>
          </w:p>
        </w:tc>
        <w:tc>
          <w:tcPr>
            <w:tcW w:w="4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8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Income taxes payable (including income taxes payable of VIE without recourse to the Company</w:t>
            </w:r>
          </w:p>
        </w:tc>
        <w:tc>
          <w:tcPr>
            <w:tcW w:w="480" w:type="dxa"/>
            <w:vAlign w:val="bottom"/>
            <w:shd w:val="clear" w:color="auto" w:fill="CCEEFF"/>
          </w:tcPr>
          <w:p>
            <w:pPr>
              <w:spacing w:after="0"/>
              <w:rPr>
                <w:sz w:val="10"/>
                <w:szCs w:val="10"/>
                <w:color w:val="auto"/>
              </w:rPr>
            </w:pPr>
          </w:p>
        </w:tc>
        <w:tc>
          <w:tcPr>
            <w:tcW w:w="1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1,071,914</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2,197,710</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314,268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of RMB909,115 and RMB933,612 as of December 31, 2024 and 2025, respectively)</w:t>
            </w:r>
          </w:p>
        </w:tc>
        <w:tc>
          <w:tcPr>
            <w:tcW w:w="480" w:type="dxa"/>
            <w:vAlign w:val="bottom"/>
            <w:shd w:val="clear" w:color="auto" w:fill="CCEEFF"/>
          </w:tcPr>
          <w:p>
            <w:pPr>
              <w:spacing w:after="0"/>
              <w:rPr>
                <w:sz w:val="14"/>
                <w:szCs w:val="14"/>
                <w:color w:val="auto"/>
              </w:rPr>
            </w:pPr>
          </w:p>
        </w:tc>
        <w:tc>
          <w:tcPr>
            <w:tcW w:w="11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8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Advances from customers (including advances from customers of VIE without recourse to the</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 of RMB32,623,364 and RMB174,904,222 as of December 31, 2024 and 2025,</w:t>
            </w:r>
          </w:p>
        </w:tc>
        <w:tc>
          <w:tcPr>
            <w:tcW w:w="48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2(q)</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35,892,860</w:t>
            </w: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182,598,444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26,111,230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respectively)</w:t>
            </w:r>
          </w:p>
        </w:tc>
        <w:tc>
          <w:tcPr>
            <w:tcW w:w="48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8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Deferred revenue—current (including deferred revenue-current of VIE without recourse to the</w:t>
            </w: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Company of RMB50,247,103 and RMB75,148,049 as of December 31, 2024 and 2025,</w:t>
            </w:r>
          </w:p>
        </w:tc>
        <w:tc>
          <w:tcPr>
            <w:tcW w:w="480" w:type="dxa"/>
            <w:vAlign w:val="bottom"/>
            <w:vMerge w:val="restart"/>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2(q)</w:t>
            </w:r>
          </w:p>
        </w:tc>
        <w:tc>
          <w:tcPr>
            <w:tcW w:w="1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50,247,103</w:t>
            </w:r>
          </w:p>
        </w:tc>
        <w:tc>
          <w:tcPr>
            <w:tcW w:w="2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75,148,049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10,746,028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respectively)</w:t>
            </w:r>
          </w:p>
        </w:tc>
        <w:tc>
          <w:tcPr>
            <w:tcW w:w="480" w:type="dxa"/>
            <w:vAlign w:val="bottom"/>
            <w:vMerge w:val="continue"/>
            <w:shd w:val="clear" w:color="auto" w:fill="CCEEFF"/>
          </w:tcPr>
          <w:p>
            <w:pPr>
              <w:spacing w:after="0"/>
              <w:rPr>
                <w:sz w:val="14"/>
                <w:szCs w:val="14"/>
                <w:color w:val="auto"/>
              </w:rPr>
            </w:pPr>
          </w:p>
        </w:tc>
        <w:tc>
          <w:tcPr>
            <w:tcW w:w="1180" w:type="dxa"/>
            <w:vAlign w:val="bottom"/>
            <w:gridSpan w:val="2"/>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8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Accrued expenses and other current liabilities (including accrued expenses and other current</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liabilities of VIE without recourse to the Company of RMB192,470,955 and RMB382,533,451</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201,356,008</w:t>
            </w: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404,813,611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57,887,575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as of December 31, 2024 and 2025, respectively)</w:t>
            </w:r>
          </w:p>
        </w:tc>
        <w:tc>
          <w:tcPr>
            <w:tcW w:w="48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4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1,651,931,793</w:t>
            </w:r>
          </w:p>
        </w:tc>
        <w:tc>
          <w:tcPr>
            <w:tcW w:w="180" w:type="dxa"/>
            <w:vAlign w:val="bottom"/>
            <w:tcBorders>
              <w:top w:val="single" w:sz="8" w:color="CCEEFF"/>
            </w:tcBorders>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2,003,132,616</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286,444,152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40" w:type="dxa"/>
            <w:vAlign w:val="bottom"/>
            <w:gridSpan w:val="2"/>
            <w:vMerge w:val="restart"/>
          </w:tcPr>
          <w:p>
            <w:pPr>
              <w:ind w:left="56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   ​​​</w:t>
            </w:r>
          </w:p>
        </w:tc>
        <w:tc>
          <w:tcPr>
            <w:tcW w:w="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1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Non-current liabilities</w:t>
            </w: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gridSpan w:val="2"/>
            <w:shd w:val="clear" w:color="auto" w:fill="CCEEFF"/>
          </w:tcPr>
          <w:p>
            <w:pPr>
              <w:jc w:val="center"/>
              <w:ind w:right="120"/>
              <w:spacing w:after="0" w:line="142"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tcBorders>
              <w:top w:val="single" w:sz="8" w:color="auto"/>
            </w:tcBorders>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8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Deferred revenue—non-current (including deferred revenue non-current of VIE without recourse</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to the Company of RMB16,886,859 and RMB23,316,175 as of December 31, 2024 and 2025,</w:t>
            </w:r>
          </w:p>
        </w:tc>
        <w:tc>
          <w:tcPr>
            <w:tcW w:w="7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rPr>
              <w:t>2(q)</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16,886,859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23,316,175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3,334,169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respectively)</w:t>
            </w:r>
          </w:p>
        </w:tc>
        <w:tc>
          <w:tcPr>
            <w:tcW w:w="700" w:type="dxa"/>
            <w:vAlign w:val="bottom"/>
            <w:gridSpan w:val="3"/>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8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Deferred income tax liabilities (including deferred income tax liabilities of VIE without recourse</w:t>
            </w: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to the Company of RMB3,269,464 and RMB2,057,892 as of December 31, 2024 and 2025,</w:t>
            </w:r>
          </w:p>
        </w:tc>
        <w:tc>
          <w:tcPr>
            <w:tcW w:w="700" w:type="dxa"/>
            <w:vAlign w:val="bottom"/>
            <w:gridSpan w:val="3"/>
            <w:vMerge w:val="restart"/>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color w:val="auto"/>
              </w:rPr>
              <w:t>14(b)</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3,269,464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2,057,892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294,275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respectively)</w:t>
            </w:r>
          </w:p>
        </w:tc>
        <w:tc>
          <w:tcPr>
            <w:tcW w:w="700" w:type="dxa"/>
            <w:vAlign w:val="bottom"/>
            <w:gridSpan w:val="3"/>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8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Operating lease liabilities—non-current (including operating lease liabilities of VIE without</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recourse to the Company were RMB89,990 and RMB976,934 as of December 31, 2024 and</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89,990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3,956,501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565,772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2025, respectively)</w:t>
            </w: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8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Other non-current liabilities (including other non-current liabilities of VIE without recourse to</w:t>
            </w: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the Company of RMB9,697,841 and RMB12,941,916 as of December 31, 2024 and 2025,</w:t>
            </w:r>
          </w:p>
        </w:tc>
        <w:tc>
          <w:tcPr>
            <w:tcW w:w="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9,697,841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12,941,916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1,850,669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respectively)</w:t>
            </w:r>
          </w:p>
        </w:tc>
        <w:tc>
          <w:tcPr>
            <w:tcW w:w="4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4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29,944,154</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42,272,484</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6,044,885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84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4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1,681,875,947</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2,045,405,100</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292,489,037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4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Commitments and contingencies</w:t>
            </w:r>
          </w:p>
        </w:tc>
        <w:tc>
          <w:tcPr>
            <w:tcW w:w="48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w w:val="99"/>
              </w:rPr>
              <w:t>18</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 EQUITY:</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8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Class A Ordinary Shares (US$0.0001 par value, 4,900,000,000 shares authorized as of December</w:t>
            </w: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31, 2024 and 2025; 139,303,366 and 141,231,394 shares issued and outstanding as of</w:t>
            </w:r>
          </w:p>
        </w:tc>
        <w:tc>
          <w:tcPr>
            <w:tcW w:w="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90,549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91,796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December 31, 2024 and 2025, respectively)</w:t>
            </w:r>
          </w:p>
        </w:tc>
        <w:tc>
          <w:tcPr>
            <w:tcW w:w="4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8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Class B Ordinary Shares (US$0.0001 par value, 50,000,000 shares authorized as of December</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31, 2024 and 2025; 16,542,020 and 15,222,020 shares issued and outstanding as of December</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10,316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9,504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31, 2024 and 2025)</w:t>
            </w: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1,988,638,160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2,016,533,709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288,360,485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(3,129,362)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(17,990,674)</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(2,572,632)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(1,054,327,443)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(1,093,713,031)</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(156,398,883)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4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931,282,220</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904,931,304</w:t>
            </w: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129,403,456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2,613,158,167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2,950,336,404</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421,892,493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NIU TECHNOLOGIES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4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32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gridSpan w:val="2"/>
          </w:tcPr>
          <w:p>
            <w:pPr>
              <w:jc w:val="right"/>
              <w:ind w:right="981"/>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0"/>
                <w:szCs w:val="10"/>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spacing w:after="0"/>
              <w:rPr>
                <w:sz w:val="10"/>
                <w:szCs w:val="10"/>
                <w:color w:val="auto"/>
              </w:rPr>
            </w:pPr>
          </w:p>
        </w:tc>
        <w:tc>
          <w:tcPr>
            <w:tcW w:w="20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4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RMB</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 2(d))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46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16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2,651,757,646</w:t>
            </w: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3,288,296,344</w:t>
            </w: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4,307,865,498</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616,016,573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(2,081,010,633)</w:t>
            </w: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(2,789,533,350)</w:t>
            </w:r>
          </w:p>
        </w:tc>
        <w:tc>
          <w:tcPr>
            <w:tcW w:w="160" w:type="dxa"/>
            <w:vAlign w:val="bottom"/>
          </w:tcPr>
          <w:p>
            <w:pPr>
              <w:spacing w:after="0"/>
              <w:rPr>
                <w:sz w:val="17"/>
                <w:szCs w:val="17"/>
                <w:color w:val="auto"/>
              </w:rPr>
            </w:pPr>
          </w:p>
        </w:tc>
        <w:tc>
          <w:tcPr>
            <w:tcW w:w="1200" w:type="dxa"/>
            <w:vAlign w:val="bottom"/>
            <w:gridSpan w:val="2"/>
          </w:tcPr>
          <w:p>
            <w:pPr>
              <w:jc w:val="right"/>
              <w:ind w:right="93"/>
              <w:spacing w:after="0"/>
              <w:rPr>
                <w:sz w:val="20"/>
                <w:szCs w:val="20"/>
                <w:color w:val="auto"/>
              </w:rPr>
            </w:pPr>
            <w:r>
              <w:rPr>
                <w:rFonts w:ascii="Times New Roman" w:cs="Times New Roman" w:eastAsia="Times New Roman" w:hAnsi="Times New Roman"/>
                <w:sz w:val="16"/>
                <w:szCs w:val="16"/>
                <w:color w:val="auto"/>
                <w:w w:val="99"/>
              </w:rPr>
              <w:t>(3,464,294,613)</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(495,387,541)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570,747,013</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498,762,994</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843,570,885</w:t>
            </w: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120,629,032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(495,734,694)</w:t>
            </w: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(489,577,690)</w:t>
            </w:r>
          </w:p>
        </w:tc>
        <w:tc>
          <w:tcPr>
            <w:tcW w:w="160" w:type="dxa"/>
            <w:vAlign w:val="bottom"/>
          </w:tcPr>
          <w:p>
            <w:pPr>
              <w:spacing w:after="0"/>
              <w:rPr>
                <w:sz w:val="17"/>
                <w:szCs w:val="17"/>
                <w:color w:val="auto"/>
              </w:rPr>
            </w:pPr>
          </w:p>
        </w:tc>
        <w:tc>
          <w:tcPr>
            <w:tcW w:w="1200" w:type="dxa"/>
            <w:vAlign w:val="bottom"/>
            <w:gridSpan w:val="2"/>
          </w:tcPr>
          <w:p>
            <w:pPr>
              <w:jc w:val="right"/>
              <w:ind w:right="93"/>
              <w:spacing w:after="0"/>
              <w:rPr>
                <w:sz w:val="20"/>
                <w:szCs w:val="20"/>
                <w:color w:val="auto"/>
              </w:rPr>
            </w:pPr>
            <w:r>
              <w:rPr>
                <w:rFonts w:ascii="Times New Roman" w:cs="Times New Roman" w:eastAsia="Times New Roman" w:hAnsi="Times New Roman"/>
                <w:sz w:val="16"/>
                <w:szCs w:val="16"/>
                <w:color w:val="auto"/>
              </w:rPr>
              <w:t>(675,769,295)</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(96,633,724)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(150,985,739)</w:t>
            </w:r>
          </w:p>
        </w:tc>
        <w:tc>
          <w:tcPr>
            <w:tcW w:w="160" w:type="dxa"/>
            <w:vAlign w:val="bottom"/>
            <w:tcBorders>
              <w:right w:val="single" w:sz="8" w:color="CCEEFF"/>
            </w:tcBorders>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(130,111,359)</w:t>
            </w:r>
          </w:p>
        </w:tc>
        <w:tc>
          <w:tcPr>
            <w:tcW w:w="160" w:type="dxa"/>
            <w:vAlign w:val="bottom"/>
            <w:tcBorders>
              <w:right w:val="single" w:sz="8" w:color="CCEEFF"/>
            </w:tcBorders>
            <w:shd w:val="clear" w:color="auto" w:fill="CCEEFF"/>
          </w:tcPr>
          <w:p>
            <w:pPr>
              <w:spacing w:after="0"/>
              <w:rPr>
                <w:sz w:val="17"/>
                <w:szCs w:val="17"/>
                <w:color w:val="auto"/>
              </w:rPr>
            </w:pPr>
          </w:p>
        </w:tc>
        <w:tc>
          <w:tcPr>
            <w:tcW w:w="120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6"/>
                <w:szCs w:val="16"/>
                <w:color w:val="auto"/>
              </w:rPr>
              <w:t>(166,452,286)</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(23,802,360)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 (including allowance for</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doubtful accounts of RMB139,445,017 and RMB7,632,517 for the</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years ended December 31, 2023 and 2024, respectively, and a</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reversal of allowance of RMB5,870,581 for the year ended</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December 31, 2025)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(244,518,817)</w:t>
            </w: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(130,617,629)</w:t>
            </w:r>
          </w:p>
        </w:tc>
        <w:tc>
          <w:tcPr>
            <w:tcW w:w="160" w:type="dxa"/>
            <w:vAlign w:val="bottom"/>
          </w:tcPr>
          <w:p>
            <w:pPr>
              <w:spacing w:after="0"/>
              <w:rPr>
                <w:sz w:val="18"/>
                <w:szCs w:val="18"/>
                <w:color w:val="auto"/>
              </w:rPr>
            </w:pPr>
          </w:p>
        </w:tc>
        <w:tc>
          <w:tcPr>
            <w:tcW w:w="1200" w:type="dxa"/>
            <w:vAlign w:val="bottom"/>
            <w:gridSpan w:val="2"/>
          </w:tcPr>
          <w:p>
            <w:pPr>
              <w:jc w:val="right"/>
              <w:ind w:right="93"/>
              <w:spacing w:after="0"/>
              <w:rPr>
                <w:sz w:val="20"/>
                <w:szCs w:val="20"/>
                <w:color w:val="auto"/>
              </w:rPr>
            </w:pPr>
            <w:r>
              <w:rPr>
                <w:rFonts w:ascii="Times New Roman" w:cs="Times New Roman" w:eastAsia="Times New Roman" w:hAnsi="Times New Roman"/>
                <w:sz w:val="16"/>
                <w:szCs w:val="16"/>
                <w:color w:val="auto"/>
              </w:rPr>
              <w:t>(90,963,018)</w:t>
            </w:r>
          </w:p>
        </w:tc>
        <w:tc>
          <w:tcPr>
            <w:tcW w:w="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(13,007,539)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(891,239,250)</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(750,306,678)</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(933,184,599)</w:t>
            </w: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(133,443,623)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Government grants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2,968,735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911,556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1,366,650</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(317,523,502)</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(250,632,128)</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(88,247,064)</w:t>
            </w: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(12,619,163)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(1,423,924)</w:t>
            </w:r>
          </w:p>
        </w:tc>
        <w:tc>
          <w:tcPr>
            <w:tcW w:w="160" w:type="dxa"/>
            <w:vAlign w:val="bottom"/>
            <w:tcBorders>
              <w:right w:val="single" w:sz="8" w:color="CCEEFF"/>
            </w:tcBorders>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(5,623,544)</w:t>
            </w:r>
          </w:p>
        </w:tc>
        <w:tc>
          <w:tcPr>
            <w:tcW w:w="160" w:type="dxa"/>
            <w:vAlign w:val="bottom"/>
            <w:tcBorders>
              <w:right w:val="single" w:sz="8" w:color="CCEEFF"/>
            </w:tcBorders>
            <w:shd w:val="clear" w:color="auto" w:fill="CCEEFF"/>
          </w:tcPr>
          <w:p>
            <w:pPr>
              <w:spacing w:after="0"/>
              <w:rPr>
                <w:sz w:val="17"/>
                <w:szCs w:val="17"/>
                <w:color w:val="auto"/>
              </w:rPr>
            </w:pPr>
          </w:p>
        </w:tc>
        <w:tc>
          <w:tcPr>
            <w:tcW w:w="120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6"/>
                <w:szCs w:val="16"/>
                <w:color w:val="auto"/>
              </w:rPr>
              <w:t>(6,130,439)</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(876,641)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35,492,190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37,089,488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26,464,512</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3,784,375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income</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1,426,370</w:t>
            </w: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2,358,995</w:t>
            </w: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5,543,812</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792,755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(282,028,866)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(216,807,189)</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(62,369,179)</w:t>
            </w:r>
          </w:p>
        </w:tc>
        <w:tc>
          <w:tcPr>
            <w:tcW w:w="1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(8,918,674)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14(a)</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10,192,884</w:t>
            </w: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23,606,550</w:t>
            </w: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22,983,591</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3,286,610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(271,835,982)</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(193,200,639)</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(39,385,588)</w:t>
            </w:r>
          </w:p>
        </w:tc>
        <w:tc>
          <w:tcPr>
            <w:tcW w:w="16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(5,632,064)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loss: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 net of nil income taxes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7,386,368</w:t>
            </w: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6,366,312</w:t>
            </w: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6"/>
                <w:szCs w:val="16"/>
                <w:color w:val="auto"/>
              </w:rPr>
              <w:t>(14,861,312)</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(2,125,139)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on available-for-sale securities, net income taxes of</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RMB3,080, nil and nil for the year 2023, 2024 and 2025,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respectively</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17,454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reclassification adjustment for gain on available-for-sale</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securities realized in net loss, net of RMB64,025, nil and nil income</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taxes for the year 2023, 2024 and 2025, respectively</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(362,810)</w:t>
            </w:r>
          </w:p>
        </w:tc>
        <w:tc>
          <w:tcPr>
            <w:tcW w:w="16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(264,794,970)</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(186,834,327)</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(54,246,900)</w:t>
            </w:r>
          </w:p>
        </w:tc>
        <w:tc>
          <w:tcPr>
            <w:tcW w:w="16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(7,757,203)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per ordinary share</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46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15</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(1.73)</w:t>
            </w:r>
          </w:p>
        </w:tc>
        <w:tc>
          <w:tcPr>
            <w:tcW w:w="160" w:type="dxa"/>
            <w:vAlign w:val="bottom"/>
            <w:tcBorders>
              <w:right w:val="single" w:sz="8" w:color="CCEEFF"/>
            </w:tcBorders>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(1.22)</w:t>
            </w:r>
          </w:p>
        </w:tc>
        <w:tc>
          <w:tcPr>
            <w:tcW w:w="160" w:type="dxa"/>
            <w:vAlign w:val="bottom"/>
            <w:tcBorders>
              <w:right w:val="single" w:sz="8" w:color="CCEEFF"/>
            </w:tcBorders>
            <w:shd w:val="clear" w:color="auto" w:fill="CCEEFF"/>
          </w:tcPr>
          <w:p>
            <w:pPr>
              <w:spacing w:after="0"/>
              <w:rPr>
                <w:sz w:val="17"/>
                <w:szCs w:val="17"/>
                <w:color w:val="auto"/>
              </w:rPr>
            </w:pPr>
          </w:p>
        </w:tc>
        <w:tc>
          <w:tcPr>
            <w:tcW w:w="120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(0.25)</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46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15</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(1.73)</w:t>
            </w: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(1.22)</w:t>
            </w:r>
          </w:p>
        </w:tc>
        <w:tc>
          <w:tcPr>
            <w:tcW w:w="160" w:type="dxa"/>
            <w:vAlign w:val="bottom"/>
          </w:tcPr>
          <w:p>
            <w:pPr>
              <w:spacing w:after="0"/>
              <w:rPr>
                <w:sz w:val="17"/>
                <w:szCs w:val="17"/>
                <w:color w:val="auto"/>
              </w:rPr>
            </w:pPr>
          </w:p>
        </w:tc>
        <w:tc>
          <w:tcPr>
            <w:tcW w:w="1200" w:type="dxa"/>
            <w:vAlign w:val="bottom"/>
            <w:gridSpan w:val="2"/>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(0.25)</w:t>
            </w:r>
          </w:p>
        </w:tc>
        <w:tc>
          <w:tcPr>
            <w:tcW w:w="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 ordinary shares and ordinary</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shares equivalents outstanding used in computing net loss per</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ordinary share</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460" w:type="dxa"/>
            <w:vAlign w:val="bottom"/>
            <w:gridSpan w:val="2"/>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15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156,816,105</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158,460,242</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159,714,698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159,714,698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46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w w:val="99"/>
              </w:rPr>
              <w:t>15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156,816,105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158,460,242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159,714,698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159,714,698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NIU TECHNOLOGIES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gridSpan w:val="4"/>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3960" w:type="dxa"/>
            <w:vAlign w:val="bottom"/>
            <w:vMerge w:val="restart"/>
          </w:tcPr>
          <w:p>
            <w:pPr>
              <w:ind w:left="38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1760" w:type="dxa"/>
            <w:vAlign w:val="bottom"/>
            <w:gridSpan w:val="4"/>
            <w:vMerge w:val="continue"/>
          </w:tcPr>
          <w:p>
            <w:pPr>
              <w:spacing w:after="0"/>
              <w:rPr>
                <w:sz w:val="15"/>
                <w:szCs w:val="15"/>
                <w:color w:val="auto"/>
              </w:rPr>
            </w:pP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960" w:type="dxa"/>
            <w:vAlign w:val="bottom"/>
            <w:vMerge w:val="continue"/>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vMerge w:val="continue"/>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80" w:type="dxa"/>
            <w:vAlign w:val="bottom"/>
            <w:vMerge w:val="continue"/>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4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 January 1, 2023</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154,261,562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99,744</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1,915,825,641</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(16,536,686)</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(589,290,822)</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1,310,097,877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(271,835,982)</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(271,835,982)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 net of nil income taxes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7,386,368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7,386,368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9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Unrealized holding gains on available-for-sale securities, net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17,454</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17,454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RMB3,080 income taxes</w:t>
            </w: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9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Reclassification adjustment for gains on available-for-sale</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(362,810)</w:t>
            </w:r>
          </w:p>
        </w:tc>
        <w:tc>
          <w:tcPr>
            <w:tcW w:w="14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(362,810)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 realized in net loss, net of RMB64,025 income taxes</w:t>
            </w:r>
          </w:p>
        </w:tc>
        <w:tc>
          <w:tcPr>
            <w:tcW w:w="7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(Note 13)</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47,659,304</w:t>
            </w:r>
          </w:p>
        </w:tc>
        <w:tc>
          <w:tcPr>
            <w:tcW w:w="1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47,659,304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share-based awards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855,468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603</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653,420</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654,023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155,117,030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100,347</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1,964,138,365</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(9,495,674)</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(861,126,804)</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1,093,616,234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(193,200,639)</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(193,200,639)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 net of nil income taxes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6,366,312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6,366,312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(Note 13)</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24,232,978</w:t>
            </w:r>
          </w:p>
        </w:tc>
        <w:tc>
          <w:tcPr>
            <w:tcW w:w="1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24,232,978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share-based awards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728,356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518</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266,817</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267,335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155,845,386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100,865</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1,988,638,160</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(3,129,362)</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(1,054,327,443)</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931,282,220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(39,385,588)</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(39,385,588)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 net of nil income taxes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(14,861,312)</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(14,861,312)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(Note 13)</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27,731,397</w:t>
            </w:r>
          </w:p>
        </w:tc>
        <w:tc>
          <w:tcPr>
            <w:tcW w:w="1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27,731,397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share-based awards</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608,028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435</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164,152</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164,587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156,453,414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101,300</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2,016,533,709</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(17,990,674)</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(1,093,713,031)</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904,931,304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2025— US$ (Note 2(d))</w:t>
            </w:r>
          </w:p>
        </w:tc>
        <w:tc>
          <w:tcPr>
            <w:tcW w:w="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14,486</w:t>
            </w:r>
          </w:p>
        </w:tc>
        <w:tc>
          <w:tcPr>
            <w:tcW w:w="18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288,360,485</w:t>
            </w:r>
          </w:p>
        </w:tc>
        <w:tc>
          <w:tcPr>
            <w:tcW w:w="1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(2,572,632)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(156,398,883)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129,403,456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2">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00"/>
          </w:cols>
          <w:pgMar w:left="840" w:top="513" w:right="8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NIU TECHNOLOGIES</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5"/>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5"/>
              </w:rPr>
              <w:t>For the Year Ended December 31,</w:t>
            </w:r>
          </w:p>
        </w:tc>
        <w:tc>
          <w:tcPr>
            <w:tcW w:w="7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60" w:type="dxa"/>
            <w:vAlign w:val="bottom"/>
            <w:vMerge w:val="restart"/>
          </w:tcPr>
          <w:p>
            <w:pPr>
              <w:ind w:left="584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tcBorders>
              <w:bottom w:val="single" w:sz="8" w:color="auto"/>
            </w:tcBorders>
            <w:gridSpan w:val="3"/>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7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6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gridSpan w:val="2"/>
          </w:tcPr>
          <w:p>
            <w:pPr>
              <w:jc w:val="right"/>
              <w:ind w:right="100"/>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tcPr>
          <w:p>
            <w:pPr>
              <w:jc w:val="center"/>
              <w:ind w:right="17"/>
              <w:spacing w:after="0" w:line="109" w:lineRule="exact"/>
              <w:rPr>
                <w:sz w:val="20"/>
                <w:szCs w:val="20"/>
                <w:color w:val="auto"/>
              </w:rPr>
            </w:pPr>
            <w:r>
              <w:rPr>
                <w:rFonts w:ascii="Times New Roman" w:cs="Times New Roman" w:eastAsia="Times New Roman" w:hAnsi="Times New Roman"/>
                <w:sz w:val="12"/>
                <w:szCs w:val="12"/>
                <w:b w:val="1"/>
                <w:bCs w:val="1"/>
                <w:color w:val="auto"/>
              </w:rPr>
              <w:t>US$</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960" w:type="dxa"/>
            <w:vAlign w:val="bottom"/>
          </w:tcPr>
          <w:p>
            <w:pPr>
              <w:ind w:left="5840"/>
              <w:spacing w:after="0" w:line="137"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right"/>
              <w:ind w:right="217"/>
              <w:spacing w:after="0" w:line="137"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ind w:left="80"/>
              <w:spacing w:after="0" w:line="137"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right"/>
              <w:ind w:right="217"/>
              <w:spacing w:after="0" w:line="137"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ind w:left="60"/>
              <w:spacing w:after="0" w:line="137" w:lineRule="exact"/>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gridSpan w:val="3"/>
          </w:tcPr>
          <w:p>
            <w:pPr>
              <w:jc w:val="right"/>
              <w:ind w:right="540"/>
              <w:spacing w:after="0" w:line="137" w:lineRule="exact"/>
              <w:rPr>
                <w:sz w:val="20"/>
                <w:szCs w:val="20"/>
                <w:color w:val="auto"/>
              </w:rPr>
            </w:pPr>
            <w:r>
              <w:rPr>
                <w:rFonts w:ascii="Times New Roman" w:cs="Times New Roman" w:eastAsia="Times New Roman" w:hAnsi="Times New Roman"/>
                <w:sz w:val="13"/>
                <w:szCs w:val="13"/>
                <w:b w:val="1"/>
                <w:bCs w:val="1"/>
                <w:color w:val="auto"/>
              </w:rPr>
              <w:t>RMB</w:t>
            </w:r>
          </w:p>
        </w:tc>
        <w:tc>
          <w:tcPr>
            <w:tcW w:w="820" w:type="dxa"/>
            <w:vAlign w:val="bottom"/>
            <w:gridSpan w:val="2"/>
          </w:tcPr>
          <w:p>
            <w:pPr>
              <w:jc w:val="center"/>
              <w:ind w:right="57"/>
              <w:spacing w:after="0" w:line="137" w:lineRule="exact"/>
              <w:rPr>
                <w:sz w:val="20"/>
                <w:szCs w:val="20"/>
                <w:color w:val="auto"/>
              </w:rPr>
            </w:pPr>
            <w:r>
              <w:rPr>
                <w:rFonts w:ascii="Times New Roman" w:cs="Times New Roman" w:eastAsia="Times New Roman" w:hAnsi="Times New Roman"/>
                <w:sz w:val="13"/>
                <w:szCs w:val="13"/>
                <w:b w:val="1"/>
                <w:bCs w:val="1"/>
                <w:color w:val="auto"/>
                <w:w w:val="96"/>
              </w:rPr>
              <w:t>(Note 2(d))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3"/>
                <w:szCs w:val="1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loss</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(271,835,982)</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(193,200,639)</w:t>
            </w:r>
          </w:p>
        </w:tc>
        <w:tc>
          <w:tcPr>
            <w:tcW w:w="16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(39,385,588)</w:t>
            </w: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(5,632,064)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Adjustments to reconcile net loss to net cash provided by operating activities:</w:t>
            </w: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Allowance for doubtful accounts</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139,445,017</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7,632,517</w:t>
            </w:r>
          </w:p>
        </w:tc>
        <w:tc>
          <w:tcPr>
            <w:tcW w:w="16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(5,870,581)</w:t>
            </w: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(839,482)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Share-based compensation (Note 13)</w:t>
            </w: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47,659,304</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24,232,978</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27,731,397</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3,965,537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148,064,759</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122,145,353</w:t>
            </w:r>
          </w:p>
        </w:tc>
        <w:tc>
          <w:tcPr>
            <w:tcW w:w="1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110,958,296</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15,866,825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Reduction in the carrying amount of right-of-use assets</w:t>
            </w: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8,303,344</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6,742,635</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4,975,534</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711,492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Investment income</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(1,426,370)</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(2,358,995)</w:t>
            </w:r>
          </w:p>
        </w:tc>
        <w:tc>
          <w:tcPr>
            <w:tcW w:w="16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(5,543,812)</w:t>
            </w: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(792,755)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Unrealized foreign exchange gain</w:t>
            </w: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(4,557,547)</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(1,965,545)</w:t>
            </w:r>
          </w:p>
        </w:tc>
        <w:tc>
          <w:tcPr>
            <w:tcW w:w="1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(4,076,187)</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(582,887)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Deferred income tax benefit</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(10,952,309)</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(23,286,678)</w:t>
            </w:r>
          </w:p>
        </w:tc>
        <w:tc>
          <w:tcPr>
            <w:tcW w:w="16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(24,206,422)</w:t>
            </w: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(3,461,472)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Loss on disposal of property, plant and equipment</w:t>
            </w: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22,077</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470,395</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2,305,199</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329,639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Write-downs of inventories (Note 4)</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21,681,652</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30,028,243</w:t>
            </w:r>
          </w:p>
        </w:tc>
        <w:tc>
          <w:tcPr>
            <w:tcW w:w="1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89,204,469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12,756,069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Changes in operating assets and liabilities:</w:t>
            </w: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Accounts receivable</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65,371,286</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(44,889,491)</w:t>
            </w:r>
          </w:p>
        </w:tc>
        <w:tc>
          <w:tcPr>
            <w:tcW w:w="1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101,333,387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14,490,482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Inventories</w:t>
            </w: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2,627,537</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(288,201,161)</w:t>
            </w:r>
          </w:p>
        </w:tc>
        <w:tc>
          <w:tcPr>
            <w:tcW w:w="1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(89,468,382)</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(12,793,808)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Prepayments and other current assets</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(5,062,337)</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(58,796,807)</w:t>
            </w:r>
          </w:p>
        </w:tc>
        <w:tc>
          <w:tcPr>
            <w:tcW w:w="16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(77,815,236)</w:t>
            </w: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(11,127,431)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non-current assets</w:t>
            </w: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6,269,554</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(6,136,484)</w:t>
            </w:r>
          </w:p>
        </w:tc>
        <w:tc>
          <w:tcPr>
            <w:tcW w:w="1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(16,929,320)</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(2,420,861)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Accounts payable and notes payable</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(33,303,059)</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423,029,917</w:t>
            </w:r>
          </w:p>
        </w:tc>
        <w:tc>
          <w:tcPr>
            <w:tcW w:w="16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(64,925,901)</w:t>
            </w: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(9,284,280)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Advances from customers</w:t>
            </w: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(5,657,752)</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16,557,569</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146,731,281</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20,982,294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Deferred revenue</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5,953,975</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12,210,754</w:t>
            </w:r>
          </w:p>
        </w:tc>
        <w:tc>
          <w:tcPr>
            <w:tcW w:w="1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31,330,262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4,480,168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non-current liabilities</w:t>
            </w: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(1,280,068)</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729,322</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3,244,075</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463,897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Income tax receivable</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13,340,152</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120" w:type="dxa"/>
            <w:vAlign w:val="bottom"/>
            <w:gridSpan w:val="3"/>
          </w:tcPr>
          <w:p>
            <w:pPr>
              <w:jc w:val="right"/>
              <w:ind w:righ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Income taxes payable</w:t>
            </w: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(540,152)</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(285,999)</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1,125,796</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160,987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(21,922,192)</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32,804,911</w:t>
            </w:r>
          </w:p>
        </w:tc>
        <w:tc>
          <w:tcPr>
            <w:tcW w:w="1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166,457,067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23,803,043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Operating lease liabilities</w:t>
            </w: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(8,465,797)</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(5,176,177)</w:t>
            </w:r>
          </w:p>
        </w:tc>
        <w:tc>
          <w:tcPr>
            <w:tcW w:w="1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(3,905,319)</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(558,453)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6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93,735,092</w:t>
            </w:r>
          </w:p>
        </w:tc>
        <w:tc>
          <w:tcPr>
            <w:tcW w:w="180" w:type="dxa"/>
            <w:vAlign w:val="bottom"/>
            <w:tcBorders>
              <w:bottom w:val="single" w:sz="8" w:color="CCEEFF"/>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52,286,618</w:t>
            </w:r>
          </w:p>
        </w:tc>
        <w:tc>
          <w:tcPr>
            <w:tcW w:w="160" w:type="dxa"/>
            <w:vAlign w:val="bottom"/>
            <w:tcBorders>
              <w:bottom w:val="single" w:sz="8" w:color="CCEEFF"/>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353,270,015</w:t>
            </w:r>
          </w:p>
        </w:tc>
        <w:tc>
          <w:tcPr>
            <w:tcW w:w="1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50,516,940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9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Investing activities:</w:t>
            </w: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Cash paid for purchase of property, plant and equipment</w:t>
            </w: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(78,934,562)</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(119,749,137)</w:t>
            </w:r>
          </w:p>
        </w:tc>
        <w:tc>
          <w:tcPr>
            <w:tcW w:w="1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(177,808,393)</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(25,426,261)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Cash paid for purchase of term deposits</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(379,419,347)</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(379,755,995)</w:t>
            </w:r>
          </w:p>
        </w:tc>
        <w:tc>
          <w:tcPr>
            <w:tcW w:w="16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(50,008,000)</w:t>
            </w: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(7,151,049)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Cash received from redemption of term deposits</w:t>
            </w: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513,238,247</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204,717,290</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195,028,000</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27,888,633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Cash paid for purchase of short-term investments</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(420,000,000)</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(2,045,830,020)</w:t>
            </w:r>
          </w:p>
        </w:tc>
        <w:tc>
          <w:tcPr>
            <w:tcW w:w="16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(3,435,678,000)</w:t>
            </w: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(491,295,420)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Cash received from sale of short-term investments</w:t>
            </w: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581,426,370</w:t>
            </w:r>
          </w:p>
        </w:tc>
        <w:tc>
          <w:tcPr>
            <w:tcW w:w="18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2,048,189,015</w:t>
            </w:r>
          </w:p>
        </w:tc>
        <w:tc>
          <w:tcPr>
            <w:tcW w:w="16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3,377,865,710</w:t>
            </w:r>
          </w:p>
        </w:tc>
        <w:tc>
          <w:tcPr>
            <w:tcW w:w="1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483,028,372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6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provided by (used in) investing activities</w:t>
            </w: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216,310,708</w:t>
            </w:r>
          </w:p>
        </w:tc>
        <w:tc>
          <w:tcPr>
            <w:tcW w:w="18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(292,428,847)</w:t>
            </w:r>
          </w:p>
        </w:tc>
        <w:tc>
          <w:tcPr>
            <w:tcW w:w="16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(90,600,683)</w:t>
            </w:r>
          </w:p>
        </w:tc>
        <w:tc>
          <w:tcPr>
            <w:tcW w:w="1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(12,955,725)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9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Financing activities:</w:t>
            </w: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Cash received from exercise of employee stock options</w:t>
            </w: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654,023</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267,335</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164,587</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23,536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Proceeds from short-term bank borrowings</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100,000,000</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200,000,000</w:t>
            </w:r>
          </w:p>
        </w:tc>
        <w:tc>
          <w:tcPr>
            <w:tcW w:w="1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240,000,000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34,319,544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Repayment for short-term bank borrowings</w:t>
            </w: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(160,000,000)</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(100,000,000)</w:t>
            </w:r>
          </w:p>
        </w:tc>
        <w:tc>
          <w:tcPr>
            <w:tcW w:w="1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(200,000,000)</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(28,599,620)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(used in) provided by financing activities</w:t>
            </w:r>
          </w:p>
        </w:tc>
        <w:tc>
          <w:tcPr>
            <w:tcW w:w="8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(59,345,977)</w:t>
            </w:r>
          </w:p>
        </w:tc>
        <w:tc>
          <w:tcPr>
            <w:tcW w:w="180" w:type="dxa"/>
            <w:vAlign w:val="bottom"/>
          </w:tcPr>
          <w:p>
            <w:pPr>
              <w:spacing w:after="0"/>
              <w:rPr>
                <w:sz w:val="11"/>
                <w:szCs w:val="11"/>
                <w:color w:val="auto"/>
              </w:rPr>
            </w:pPr>
          </w:p>
        </w:tc>
        <w:tc>
          <w:tcPr>
            <w:tcW w:w="8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100,267,335</w:t>
            </w:r>
          </w:p>
        </w:tc>
        <w:tc>
          <w:tcPr>
            <w:tcW w:w="160" w:type="dxa"/>
            <w:vAlign w:val="bottom"/>
          </w:tcPr>
          <w:p>
            <w:pPr>
              <w:spacing w:after="0"/>
              <w:rPr>
                <w:sz w:val="11"/>
                <w:szCs w:val="11"/>
                <w:color w:val="auto"/>
              </w:rPr>
            </w:pPr>
          </w:p>
        </w:tc>
        <w:tc>
          <w:tcPr>
            <w:tcW w:w="8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40,164,587</w:t>
            </w: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5,743,460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Effect of foreign currency exchange rate changes on cash, cash equivalents and restricted cash</w:t>
            </w: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8,913,200</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6,051,800</w:t>
            </w:r>
          </w:p>
        </w:tc>
        <w:tc>
          <w:tcPr>
            <w:tcW w:w="1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(13,648,886)</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(1,951,765)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tcBorders>
              <w:bottom w:val="single" w:sz="8" w:color="CCEEFF"/>
            </w:tcBorders>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Net increase (decrease) in cash, cash equivalents and restricted cash</w:t>
            </w:r>
          </w:p>
        </w:tc>
        <w:tc>
          <w:tcPr>
            <w:tcW w:w="8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259,613,023</w:t>
            </w:r>
          </w:p>
        </w:tc>
        <w:tc>
          <w:tcPr>
            <w:tcW w:w="18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(133,823,094)</w:t>
            </w:r>
          </w:p>
        </w:tc>
        <w:tc>
          <w:tcPr>
            <w:tcW w:w="16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289,185,033</w:t>
            </w:r>
          </w:p>
        </w:tc>
        <w:tc>
          <w:tcPr>
            <w:tcW w:w="1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41,352,910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6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Cash, cash equivalents and restricted cash at the beginning of the year</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720,627,170</w:t>
            </w:r>
          </w:p>
        </w:tc>
        <w:tc>
          <w:tcPr>
            <w:tcW w:w="18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980,240,193</w:t>
            </w:r>
          </w:p>
        </w:tc>
        <w:tc>
          <w:tcPr>
            <w:tcW w:w="160" w:type="dxa"/>
            <w:vAlign w:val="bottom"/>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846,417,099</w:t>
            </w:r>
          </w:p>
        </w:tc>
        <w:tc>
          <w:tcPr>
            <w:tcW w:w="1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121,036,035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60" w:type="dxa"/>
            <w:vAlign w:val="bottom"/>
            <w:tcBorders>
              <w:bottom w:val="single" w:sz="8" w:color="CCEEFF"/>
            </w:tcBorders>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 at the end of the year</w:t>
            </w: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980,240,193</w:t>
            </w:r>
          </w:p>
        </w:tc>
        <w:tc>
          <w:tcPr>
            <w:tcW w:w="18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846,417,099</w:t>
            </w:r>
          </w:p>
        </w:tc>
        <w:tc>
          <w:tcPr>
            <w:tcW w:w="16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1,135,602,132</w:t>
            </w:r>
          </w:p>
        </w:tc>
        <w:tc>
          <w:tcPr>
            <w:tcW w:w="1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162,388,945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Supplemental information</w:t>
            </w: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Interest paid</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1,616,253</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5,460,000</w:t>
            </w:r>
          </w:p>
        </w:tc>
        <w:tc>
          <w:tcPr>
            <w:tcW w:w="1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5,900,833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843,808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Income tax paid</w:t>
            </w: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1,066,182</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142,311</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89,930</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12,860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9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Construction payable</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13,441,923</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19,824,443</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55,417,029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7,924,530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NIU TECHNOLOGIES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98" w:lineRule="exact"/>
        <w:rPr>
          <w:sz w:val="20"/>
          <w:szCs w:val="20"/>
          <w:color w:val="auto"/>
        </w:rPr>
      </w:pPr>
    </w:p>
    <w:p>
      <w:pPr>
        <w:ind w:right="4140"/>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1. DESCRIPTION OF ORGANIZATION AND PRINCIPAL ACTIVITIES </w:t>
      </w:r>
      <w:r>
        <w:rPr>
          <w:rFonts w:ascii="Times New Roman" w:cs="Times New Roman" w:eastAsia="Times New Roman" w:hAnsi="Times New Roman"/>
          <w:sz w:val="18"/>
          <w:szCs w:val="18"/>
          <w:b w:val="1"/>
          <w:bCs w:val="1"/>
          <w:i w:val="1"/>
          <w:iCs w:val="1"/>
          <w:color w:val="auto"/>
        </w:rPr>
        <w:t>Organization and principal activities</w:t>
      </w: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Niu Technologies (“the Company”), through its wholly-owned subsidiaries, consolidated variable interest entity (“VIE”) and VIE’s subsidiaries (collectively referred to as “the Group”), is principally engaged in designing, manufacturing and selling of electric scooters and its accessories and spare parts under the brand name of “NIU”. The Group’s principal operations and geographic markets are primarily in the People’s Republic of China (“PRC”).</w:t>
      </w:r>
    </w:p>
    <w:p>
      <w:pPr>
        <w:spacing w:after="0" w:line="15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financial statements of the Company, its wholly-owned subsidiaries, consolidated VIE and VIE’s subsidiaries.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VIE arrangements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Group operates its online business in mainland China through Beijing Niudian Technologies Co., Ltd. (“Beijing Niudian”, or the “VIE”), a limited liability company established under the laws of the PRC on September 18, 2014. Beijing Niudian holds the necessary PRC operating licenses for the online business. The equity interests of Beijing Niudian are legally held by individuals who act as nominee equity holders of the VIE on behalf of Beijing Niudian Information Technology Co., Ltd. (“Niudian Information”), the Company’s wholly-owned subsidiary. A series of contractual agreements, including Powers of Attorney, Exclusive Business Cooperation Agreement, Equity Pledge Agreement, Exclusive Option Agreement and Spousal Consent Letters (collectively, the “VIE Agreements”), were entered among the Company, Niudian Information, Beijing Niudian and its nominee equity holders on May 27, 2015 and were subsequently amended to include registration of the Equity Pledge Agreement with the relevant registration authority on June 11, 2018, amended when an equity holder transferred certain equity interests to another equity holder on July 20, 2018. The contractual agreements were further amended when two equity holders transferred certain equity interests to another equity holder on March 10, 2020. Furthermore, on November 14, 2024, an additional amendment was made to the VIE Agreements when certain equity interests were transferred from one equity holder to another.</w:t>
      </w:r>
    </w:p>
    <w:p>
      <w:pPr>
        <w:spacing w:after="0" w:line="16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the VIE Agreements, the Company is able to exercise effective control over, bears the risks of, enjoys substantially all of the economic benefits of the VIE, and has an exclusive option to purchase all or part of the equity interests in the VIE when and to the extent permitted by PRC law at the lowest price possible. The Company’s management concluded that Beijing Niudian is a VIE and the Company is its primary beneficiary. As such, the consolidated financial statements of the VIE are included in the consolidated financial statements of the Company.</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terms of the VIE Agreements are further described below.</w:t>
      </w:r>
    </w:p>
    <w:p>
      <w:pPr>
        <w:spacing w:after="0" w:line="18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i w:val="1"/>
          <w:iCs w:val="1"/>
          <w:color w:val="auto"/>
        </w:rPr>
        <w:t>1)</w:t>
      </w:r>
      <w:r>
        <w:rPr>
          <w:sz w:val="20"/>
          <w:szCs w:val="20"/>
          <w:color w:val="auto"/>
        </w:rPr>
        <w:tab/>
      </w:r>
      <w:r>
        <w:rPr>
          <w:rFonts w:ascii="Times New Roman" w:cs="Times New Roman" w:eastAsia="Times New Roman" w:hAnsi="Times New Roman"/>
          <w:sz w:val="17"/>
          <w:szCs w:val="17"/>
          <w:i w:val="1"/>
          <w:iCs w:val="1"/>
          <w:color w:val="auto"/>
        </w:rPr>
        <w:t>Powers of Attorney</w:t>
      </w:r>
    </w:p>
    <w:p>
      <w:pPr>
        <w:spacing w:after="0" w:line="20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and each of the equity holders of Beijing Niudian entered into Powers of Attorney. Pursuant to the Powers of Attorney, the equity holders of Beijing Niudian irrevocably appointed the Company as their attorney-in-fact to exercise all equity holder rights, including, but not limited to, convening and attending in the equity holders’ meeting, appointing or removing directors, executive officers and senior management, disposing of all or part of the equity holder’s interests in Beijing Niudian, casting equity holder’s vote on matters requiring equity holders’ approval and doing all other acts in the capacity of equity holder as permitted by Beijing Niudian’s Memorandum and Articles of Association. In addition, the Company has a right to assign its rights and benefits under the Powers of Attorney to any other parties without an advance notice to the equity holders of Beijing Niudian. The Powers of Attorney shall continue in force and be irrevocable as long as the equity holders of Beijing Niudian remain as the equity holders of Beijing Niudian.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i w:val="1"/>
          <w:iCs w:val="1"/>
          <w:color w:val="auto"/>
        </w:rPr>
        <w:t>2)</w:t>
      </w:r>
      <w:r>
        <w:rPr>
          <w:sz w:val="20"/>
          <w:szCs w:val="20"/>
          <w:color w:val="auto"/>
        </w:rPr>
        <w:tab/>
      </w:r>
      <w:r>
        <w:rPr>
          <w:rFonts w:ascii="Times New Roman" w:cs="Times New Roman" w:eastAsia="Times New Roman" w:hAnsi="Times New Roman"/>
          <w:sz w:val="17"/>
          <w:szCs w:val="17"/>
          <w:i w:val="1"/>
          <w:iCs w:val="1"/>
          <w:color w:val="auto"/>
        </w:rPr>
        <w:t>Exclusive Business Cooperation Agreement</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Niudian Information and Beijing Niudian entered into an Exclusive Business Cooperation Agreement, whereby Niudian Information is appointed as the exclusive service provider for the provision of business support, technology and consulting services to Beijing Niudian. Unless a written consent is given by Niudian Information, Beijing Niudian is not allowed to engage a third party to provide such services, while Niudian Information is able to designate another party to render such services to Beijing Niudian. Beijing Niudian shall pay Niudian Information on a monthly basis a service fee, which shall equal to 100% of the monthly net profits of Beijing Niudian, and Niudian Information has the sole discretion to adjust the basis of calculation of the service fee amount according to service provided to Beijing Niudian. Niudian Information owns the exclusive intellectual property rights, whether created by Niudian Information or Beijing Niudian, as a result of the performance of the Exclusive Business Cooperation Agreement unless terminated in writing by Niudian Information. The Exclusive Business Cooperation Agreement will be in effect until September 17, 2044 which represents the end of operation term of Beijing Niudian.</w:t>
      </w:r>
    </w:p>
    <w:p>
      <w:pPr>
        <w:spacing w:after="0" w:line="16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i w:val="1"/>
          <w:iCs w:val="1"/>
          <w:color w:val="auto"/>
        </w:rPr>
        <w:t>3)</w:t>
      </w:r>
      <w:r>
        <w:rPr>
          <w:sz w:val="20"/>
          <w:szCs w:val="20"/>
          <w:color w:val="auto"/>
        </w:rPr>
        <w:tab/>
      </w:r>
      <w:r>
        <w:rPr>
          <w:rFonts w:ascii="Times New Roman" w:cs="Times New Roman" w:eastAsia="Times New Roman" w:hAnsi="Times New Roman"/>
          <w:sz w:val="17"/>
          <w:szCs w:val="17"/>
          <w:i w:val="1"/>
          <w:iCs w:val="1"/>
          <w:color w:val="auto"/>
        </w:rPr>
        <w:t>Equity Pledge Agreement</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An Equity Pledge Agreement was entered into by and among Niudian Information, Beijing Niudian and equity holders of Beijing Niudian. To guarantee payment from Beijing Niudian, including but not limited to the service fee pursuant to the Exclusive Business Cooperation Agreement, and the performance of Beijing Niudian and the nominee equity holders’ obligations under the contractual arrangements including the Exclusive Business Cooperation Agreement, Exclusive Option Agreement and Powers of Attorney, the equity holders of Beijing Niudian pledged their respective equity in Niudian Information under the Equity Pledge Agreement to Niudian Information as collateral. In the event Beijing Niudian fails to pay Niudian Information its service fee, Niudian Information will have the right to sell the pledged equity and apply the proceeds received to pay any outstanding service fees due by Beijing Niudian to Niudian Information. The equity holders of Beijing Niudian agree that, during the term of the Equity Pledge Agreement, they will not dispose of the pledged equity or create or allow any encumbrance on the pledged equity, and they also agree that Niudian Information’s rights relating to the equity pledges shall not be prejudiced by any legal actions of the equity holders of Beijing Niudian, their successors or their designees. The equity pledges have been registered with the relevant registration authority and became effective and enforceable since registration. The Equity Pledge Agreement may only be terminated upon the fulfillment of all contractual obligations under the Exclusive Business Cooperation Agreement, Exclusive Option Agreement and Powers of Attorney. During the term of the Equity Pledge Agreement, Niudian Information is entitled to receive dividends attributable to the pledged Beijing Niudian equity.</w:t>
      </w:r>
    </w:p>
    <w:p>
      <w:pPr>
        <w:spacing w:after="0" w:line="15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i w:val="1"/>
          <w:iCs w:val="1"/>
          <w:color w:val="auto"/>
        </w:rPr>
        <w:t>4)</w:t>
      </w:r>
      <w:r>
        <w:rPr>
          <w:sz w:val="20"/>
          <w:szCs w:val="20"/>
          <w:color w:val="auto"/>
        </w:rPr>
        <w:tab/>
      </w:r>
      <w:r>
        <w:rPr>
          <w:rFonts w:ascii="Times New Roman" w:cs="Times New Roman" w:eastAsia="Times New Roman" w:hAnsi="Times New Roman"/>
          <w:sz w:val="17"/>
          <w:szCs w:val="17"/>
          <w:i w:val="1"/>
          <w:iCs w:val="1"/>
          <w:color w:val="auto"/>
        </w:rPr>
        <w:t>Exclusive Option Agreement</w:t>
      </w:r>
    </w:p>
    <w:p>
      <w:pPr>
        <w:spacing w:after="0" w:line="20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Each of the equity holders of Beijing Niudian entered into an Exclusive Option Agreement with the Company, Niudian Information, and Beijing Niudian, pursuant to which the equity holders of Beijing Niudian granted the Company, and Niudian Information or other person upon the designation by the Company, an irrevocable and exclusive option to purchase, at its discretion and to the extent permitted under the PRC law, all or part of the equity holders’ interests in Beijing Niudian at RMB100 or the lowest price that the PRC law permits at the time unless a valuation of the equity is required by the PRC law. The equity holders of Beijing Niudian commit that without the prior written consent of the Company, the equity holders of Beijing Niudian will not, among other things, (i) create any pledge or encumbrance on their equity interests in Beijing Niudian, (ii) transfer or otherwise dispose of their equity interests in Beijing Niudian, (iii) change Beijing Niudian’s registered capital, (iv) amend Beijing Niudian’s articles of association, (v) dispose of Beijing Niudian’s material assets or enter into any material contract with a value of over RMB100,000 (except in the ordinary course of business), or (vi) merge Beijing Niudian with any other entity. In addition, Beijing Niudian undertakes that, without the Company’s prior written consent, it will not, among other things, create any pledge or encumbrance on any of its assets, or transfer or otherwise dispose of its material assets (except in the ordinary course of business). Beijing Niudian and its equity holders shall appoint those individuals recommended by the Company as directors of Beijing Niudian. Beijing Niudian shall provide operating and financial information to the Company at the request of the Company and ensure the continuance of the business. The Exclusive Option Agreement will remain effective until all equity interests in Beijing Niudian held by its equity holders are transferred or assigned to the Company or its designee. Beijing Niudian and its equity holders shall not have any right to terminate the Exclusive Option Agreement.</w:t>
      </w:r>
    </w:p>
    <w:p>
      <w:pPr>
        <w:spacing w:after="0" w:line="15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i w:val="1"/>
          <w:iCs w:val="1"/>
          <w:color w:val="auto"/>
        </w:rPr>
        <w:t>5)</w:t>
      </w:r>
      <w:r>
        <w:rPr>
          <w:sz w:val="20"/>
          <w:szCs w:val="20"/>
          <w:color w:val="auto"/>
        </w:rPr>
        <w:tab/>
      </w:r>
      <w:r>
        <w:rPr>
          <w:rFonts w:ascii="Times New Roman" w:cs="Times New Roman" w:eastAsia="Times New Roman" w:hAnsi="Times New Roman"/>
          <w:sz w:val="17"/>
          <w:szCs w:val="17"/>
          <w:i w:val="1"/>
          <w:iCs w:val="1"/>
          <w:color w:val="auto"/>
        </w:rPr>
        <w:t>Spousal Consent Letters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spouses of each of nominee equity holders signed Spousal Consent Letters to consent that the equity interests in Beijing Niudian held by and registered in the name of the respective nominee equity holders will be disposed of pursuant to the VIE Agreements. These spouses agreed not to assert any rights over the equity interest in Beijing Niudian held by their spouses. In addition, in the event that the spouses obtain any equity interests in Beijing Niudian held by their spouses for any reason, they agreed to be bound by the VIE Agreements.</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in relation to the VIE structure</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Based on the opinion of the Company’s PRC legal counsel, the management believes the VIE Agreements have resulted in the Company having the power to direct activities that most significantly impact the VIE, including appointing key management, setting up operating policies, exerting financial controls and transferring profit or assets out of the VIE at its discretion. The Company considers that it has the right to receive all the benefits and assets of the VIE. As the VIE was established as a limited liability company under the PRC law, its creditors do not have recourse to the general credit of the Company for the liabilities of the VIE, and the Company does not have the obligation to assume the liabilities of the VIE.</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determined that the VIE Agreements are in compliance with PRC laws and are legally enforceable. However, uncertainties in the PRC legal system could limit the Company’s ability to enforce the VIE Agreements; and if the equity holders of the VIE were to reduce their interest in the Company, their interests may diverge from that of the Company and that may potentially increase the risk that they would seek to act contrary to the contractual terms.</w:t>
      </w:r>
    </w:p>
    <w:p>
      <w:pPr>
        <w:spacing w:after="0" w:line="13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ability to control the VIE also depends on the rights provided to the Company under the Powers of Attorney to vote on all matters requiring equity holders’ approval in the respective VIE. As noted above, the Company believes these Powers of Attorney are legally enforceable but yet they may not be as effective as direct equity ownership. In addition, if the corporate structure of the Group or the contractual arrangements between the Company, Niudian Information, the VIE and its respective equity holders were found to be in violation of any existing PRC laws and regulations, the relevant PRC regulatory authorities could:</w:t>
      </w:r>
    </w:p>
    <w:p>
      <w:pPr>
        <w:spacing w:after="0" w:line="143" w:lineRule="exact"/>
        <w:rPr>
          <w:sz w:val="20"/>
          <w:szCs w:val="20"/>
          <w:color w:val="auto"/>
        </w:rPr>
      </w:pPr>
    </w:p>
    <w:p>
      <w:pPr>
        <w:ind w:left="680" w:hanging="321"/>
        <w:spacing w:after="0"/>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revoke the business license and/or operating licenses of such entities;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or place restrictions or onerous conditions on the Group’s operations;</w:t>
      </w:r>
    </w:p>
    <w:p>
      <w:pPr>
        <w:spacing w:after="0" w:line="184"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fines, confiscate the income from the VIE, or impose other requirements with which the Group may not be able to comply;</w:t>
      </w:r>
    </w:p>
    <w:p>
      <w:pPr>
        <w:spacing w:after="0" w:line="12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Group to restructure its ownership structure or operations, including terminating the contractual arrangements with the VIE and deregistering the equity pledges of the VIE, which in turn would affect the Company’s ability to consolidate, derive economic interests from, or exert effective control over the VIE; or</w:t>
      </w:r>
    </w:p>
    <w:p>
      <w:pPr>
        <w:spacing w:after="0" w:line="14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or prohibit our use of the proceeds of this offering to finance our business and operations in China.</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imposition of any of the above restrictions or actions may result in a material and adverse effect on the Group’s ability to conduct its business. In addition, if the imposition of any of these restrictions causes the Company to lose the right to direct the activities of the VIE or the right to receive its economic benefits, the Company would no longer be able to consolidate the VIE. The Company’s management believes that the likelihood to lose the Company’s current ownership structure or the contractual arrangements with the VIE is remote based on the current facts and circumstances.</w:t>
      </w:r>
    </w:p>
    <w:p>
      <w:pPr>
        <w:spacing w:after="0" w:line="14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is no VIE in which the Company has a variable interest but is not the primary beneficiary. Currently there is no contractual arrangement that could require the Company to provide additional financial support to the VIE.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consolidated assets and liabilities information of the Group’s VIE as of December 31, 2024 and 2025, and consolidated revenues, net loss and cash flow information for the years ended December 31, 2023, 2024 and 2025, have been included in the accompanying consolidated financial statements. All intercompany transactions and balances with the Company and its wholly-owned subsidiaries have been eliminated upon consolidation.</w:t>
      </w:r>
    </w:p>
    <w:p>
      <w:pPr>
        <w:spacing w:after="0" w:line="18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00" w:type="dxa"/>
            <w:vAlign w:val="bottom"/>
          </w:tcPr>
          <w:p>
            <w:pPr>
              <w:spacing w:after="0" w:line="20" w:lineRule="exact"/>
              <w:rPr>
                <w:sz w:val="1"/>
                <w:szCs w:val="1"/>
                <w:color w:val="auto"/>
              </w:rPr>
            </w:pPr>
          </w:p>
        </w:tc>
        <w:tc>
          <w:tcPr>
            <w:tcW w:w="552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000" w:type="dxa"/>
            <w:vAlign w:val="bottom"/>
          </w:tcPr>
          <w:p>
            <w:pPr>
              <w:spacing w:after="0"/>
              <w:rPr>
                <w:sz w:val="10"/>
                <w:szCs w:val="10"/>
                <w:color w:val="auto"/>
              </w:rPr>
            </w:pPr>
          </w:p>
        </w:tc>
        <w:tc>
          <w:tcPr>
            <w:tcW w:w="5520" w:type="dxa"/>
            <w:vAlign w:val="bottom"/>
          </w:tcPr>
          <w:p>
            <w:pPr>
              <w:ind w:left="54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ind w:right="351"/>
              <w:spacing w:after="0" w:line="12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371"/>
              <w:spacing w:after="0" w:line="122" w:lineRule="exact"/>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100" w:type="dxa"/>
            <w:vAlign w:val="bottom"/>
            <w:tcBorders>
              <w:top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543,298,396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758,887,889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Term deposits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134,178,095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114,178,095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376,157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20,126,575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117,003,716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19,181,215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582,024,734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524,264,388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234,385,266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304,440,726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inter-companies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213,867,617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317,093,486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vMerge w:val="restart"/>
          </w:tcPr>
          <w:p>
            <w:pPr>
              <w:spacing w:after="0"/>
              <w:rPr>
                <w:sz w:val="18"/>
                <w:szCs w:val="18"/>
                <w:color w:val="auto"/>
              </w:rPr>
            </w:pPr>
          </w:p>
        </w:tc>
        <w:tc>
          <w:tcPr>
            <w:tcW w:w="5520" w:type="dxa"/>
            <w:vAlign w:val="bottom"/>
            <w:tcBorders>
              <w:top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1,825,133,981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2,058,172,374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vMerge w:val="restart"/>
          </w:tcPr>
          <w:p>
            <w:pPr>
              <w:spacing w:after="0"/>
              <w:rPr>
                <w:sz w:val="18"/>
                <w:szCs w:val="18"/>
                <w:color w:val="auto"/>
              </w:rPr>
            </w:pPr>
          </w:p>
        </w:tc>
        <w:tc>
          <w:tcPr>
            <w:tcW w:w="5520" w:type="dxa"/>
            <w:vAlign w:val="bottom"/>
            <w:tcBorders>
              <w:top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318,530,570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418,500,969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887,955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673,040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71,223,350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70,360,147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31,752,254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56,203,598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19,309,049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32,696,276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vMerge w:val="restart"/>
          </w:tcPr>
          <w:p>
            <w:pPr>
              <w:spacing w:after="0"/>
              <w:rPr>
                <w:sz w:val="18"/>
                <w:szCs w:val="18"/>
                <w:color w:val="auto"/>
              </w:rPr>
            </w:pPr>
          </w:p>
        </w:tc>
        <w:tc>
          <w:tcPr>
            <w:tcW w:w="5520" w:type="dxa"/>
            <w:vAlign w:val="bottom"/>
            <w:tcBorders>
              <w:top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2,266,837,159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2,636,606,404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vMerge w:val="restart"/>
          </w:tcPr>
          <w:p>
            <w:pPr>
              <w:spacing w:after="0"/>
              <w:rPr>
                <w:sz w:val="18"/>
                <w:szCs w:val="18"/>
                <w:color w:val="auto"/>
              </w:rPr>
            </w:pPr>
          </w:p>
        </w:tc>
        <w:tc>
          <w:tcPr>
            <w:tcW w:w="5520" w:type="dxa"/>
            <w:vAlign w:val="bottom"/>
            <w:tcBorders>
              <w:top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Short-term bank borrowings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240,000,000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294,348,768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394,285,714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856,557,922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670,748,944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909,115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933,612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Advances from customers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32,623,364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174,904,222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revenue—current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50,247,103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75,148,049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192,470,955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382,533,451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inter-companies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492,542,370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506,661,309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5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2,119,699,597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2,445,215,301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5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revenue—non-current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16,886,859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23,316,175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3,269,464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2,057,892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liabilities—non-current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976,934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9,697,841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12,941,916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vMerge w:val="restart"/>
          </w:tcPr>
          <w:p>
            <w:pPr>
              <w:spacing w:after="0"/>
              <w:rPr>
                <w:sz w:val="18"/>
                <w:szCs w:val="18"/>
                <w:color w:val="auto"/>
              </w:rPr>
            </w:pPr>
          </w:p>
        </w:tc>
        <w:tc>
          <w:tcPr>
            <w:tcW w:w="5520" w:type="dxa"/>
            <w:vAlign w:val="bottom"/>
            <w:tcBorders>
              <w:top w:val="single" w:sz="8" w:color="CCEEFF"/>
              <w:righ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2,149,643,751</w:t>
            </w:r>
          </w:p>
        </w:tc>
        <w:tc>
          <w:tcPr>
            <w:tcW w:w="1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2,484,508,218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7"/>
        </w:trPr>
        <w:tc>
          <w:tcPr>
            <w:tcW w:w="1000" w:type="dxa"/>
            <w:vAlign w:val="bottom"/>
          </w:tcPr>
          <w:p>
            <w:pPr>
              <w:spacing w:after="0"/>
              <w:rPr>
                <w:sz w:val="24"/>
                <w:szCs w:val="24"/>
                <w:color w:val="auto"/>
              </w:rPr>
            </w:pPr>
          </w:p>
        </w:tc>
        <w:tc>
          <w:tcPr>
            <w:tcW w:w="5520" w:type="dxa"/>
            <w:vAlign w:val="bottom"/>
          </w:tcPr>
          <w:p>
            <w:pPr>
              <w:ind w:left="3800"/>
              <w:spacing w:after="0"/>
              <w:rPr>
                <w:sz w:val="20"/>
                <w:szCs w:val="20"/>
                <w:color w:val="auto"/>
              </w:rPr>
            </w:pPr>
            <w:r>
              <w:rPr>
                <w:rFonts w:ascii="Times New Roman" w:cs="Times New Roman" w:eastAsia="Times New Roman" w:hAnsi="Times New Roman"/>
                <w:sz w:val="18"/>
                <w:szCs w:val="18"/>
                <w:color w:val="auto"/>
              </w:rPr>
              <w:t>F-12</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00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22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2"/>
        </w:trPr>
        <w:tc>
          <w:tcPr>
            <w:tcW w:w="6220" w:type="dxa"/>
            <w:vAlign w:val="bottom"/>
          </w:tcPr>
          <w:p>
            <w:pPr>
              <w:ind w:left="61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ind w:right="333"/>
              <w:spacing w:after="0" w:line="12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0"/>
                <w:szCs w:val="10"/>
                <w:color w:val="auto"/>
              </w:rPr>
            </w:pPr>
          </w:p>
        </w:tc>
        <w:tc>
          <w:tcPr>
            <w:tcW w:w="1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ind w:right="333"/>
              <w:spacing w:after="0" w:line="12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0"/>
                <w:szCs w:val="10"/>
                <w:color w:val="auto"/>
              </w:rPr>
            </w:pPr>
          </w:p>
        </w:tc>
        <w:tc>
          <w:tcPr>
            <w:tcW w:w="1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ind w:right="353"/>
              <w:spacing w:after="0" w:line="12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0"/>
                <w:szCs w:val="10"/>
                <w:color w:val="auto"/>
              </w:rPr>
            </w:pPr>
          </w:p>
        </w:tc>
      </w:tr>
      <w:tr>
        <w:trPr>
          <w:trHeight w:val="142"/>
        </w:trPr>
        <w:tc>
          <w:tcPr>
            <w:tcW w:w="6220" w:type="dxa"/>
            <w:vAlign w:val="bottom"/>
          </w:tcPr>
          <w:p>
            <w:pPr>
              <w:spacing w:after="0"/>
              <w:rPr>
                <w:sz w:val="12"/>
                <w:szCs w:val="12"/>
                <w:color w:val="auto"/>
              </w:rPr>
            </w:pPr>
          </w:p>
        </w:tc>
        <w:tc>
          <w:tcPr>
            <w:tcW w:w="1100" w:type="dxa"/>
            <w:vAlign w:val="bottom"/>
            <w:tcBorders>
              <w:top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r>
      <w:tr>
        <w:trPr>
          <w:trHeight w:val="216"/>
        </w:trPr>
        <w:tc>
          <w:tcPr>
            <w:tcW w:w="6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2,645,570,002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3,395,510,431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4,328,389,653</w:t>
            </w:r>
          </w:p>
        </w:tc>
        <w:tc>
          <w:tcPr>
            <w:tcW w:w="20" w:type="dxa"/>
            <w:vAlign w:val="bottom"/>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(236,441,380)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(129,349,151)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8,138,514</w:t>
            </w:r>
          </w:p>
        </w:tc>
        <w:tc>
          <w:tcPr>
            <w:tcW w:w="20" w:type="dxa"/>
            <w:vAlign w:val="bottom"/>
          </w:tcPr>
          <w:p>
            <w:pPr>
              <w:spacing w:after="0"/>
              <w:rPr>
                <w:sz w:val="18"/>
                <w:szCs w:val="18"/>
                <w:color w:val="auto"/>
              </w:rPr>
            </w:pPr>
          </w:p>
        </w:tc>
      </w:tr>
      <w:tr>
        <w:trPr>
          <w:trHeight w:val="216"/>
        </w:trPr>
        <w:tc>
          <w:tcPr>
            <w:tcW w:w="6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93,727,586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51,395,662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343,484,736</w:t>
            </w:r>
          </w:p>
        </w:tc>
        <w:tc>
          <w:tcPr>
            <w:tcW w:w="20" w:type="dxa"/>
            <w:vAlign w:val="bottom"/>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82,502,334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(231,450,112)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(172,347,587)</w:t>
            </w:r>
          </w:p>
        </w:tc>
        <w:tc>
          <w:tcPr>
            <w:tcW w:w="20" w:type="dxa"/>
            <w:vAlign w:val="bottom"/>
          </w:tcPr>
          <w:p>
            <w:pPr>
              <w:spacing w:after="0"/>
              <w:rPr>
                <w:sz w:val="18"/>
                <w:szCs w:val="18"/>
                <w:color w:val="auto"/>
              </w:rPr>
            </w:pPr>
          </w:p>
        </w:tc>
      </w:tr>
      <w:tr>
        <w:trPr>
          <w:trHeight w:val="216"/>
        </w:trPr>
        <w:tc>
          <w:tcPr>
            <w:tcW w:w="6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(60,000,000)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20" w:type="dxa"/>
            <w:vAlign w:val="bottom"/>
          </w:tcPr>
          <w:p>
            <w:pPr>
              <w:spacing w:after="0"/>
              <w:rPr>
                <w:sz w:val="18"/>
                <w:szCs w:val="18"/>
                <w:color w:val="auto"/>
              </w:rPr>
            </w:pPr>
          </w:p>
        </w:tc>
      </w:tr>
      <w:tr>
        <w:trPr>
          <w:trHeight w:val="198"/>
        </w:trPr>
        <w:tc>
          <w:tcPr>
            <w:tcW w:w="6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foreign currency exchange rate changes on cash, cash equivalents and</w:t>
            </w: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4,599,207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3,099,468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4,076,187</w:t>
            </w:r>
          </w:p>
        </w:tc>
        <w:tc>
          <w:tcPr>
            <w:tcW w:w="20" w:type="dxa"/>
            <w:vAlign w:val="bottom"/>
          </w:tcPr>
          <w:p>
            <w:pPr>
              <w:spacing w:after="0"/>
              <w:rPr>
                <w:sz w:val="20"/>
                <w:szCs w:val="20"/>
                <w:color w:val="auto"/>
              </w:rPr>
            </w:pPr>
          </w:p>
        </w:tc>
      </w:tr>
      <w:tr>
        <w:trPr>
          <w:trHeight w:val="216"/>
        </w:trPr>
        <w:tc>
          <w:tcPr>
            <w:tcW w:w="6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120,829,127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(76,954,982)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215,213,336</w:t>
            </w:r>
          </w:p>
        </w:tc>
        <w:tc>
          <w:tcPr>
            <w:tcW w:w="20" w:type="dxa"/>
            <w:vAlign w:val="bottom"/>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year</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499,800,408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620,629,535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543,674,553</w:t>
            </w:r>
          </w:p>
        </w:tc>
        <w:tc>
          <w:tcPr>
            <w:tcW w:w="20" w:type="dxa"/>
            <w:vAlign w:val="bottom"/>
          </w:tcPr>
          <w:p>
            <w:pPr>
              <w:spacing w:after="0"/>
              <w:rPr>
                <w:sz w:val="18"/>
                <w:szCs w:val="18"/>
                <w:color w:val="auto"/>
              </w:rPr>
            </w:pPr>
          </w:p>
        </w:tc>
      </w:tr>
      <w:tr>
        <w:trPr>
          <w:trHeight w:val="216"/>
        </w:trPr>
        <w:tc>
          <w:tcPr>
            <w:tcW w:w="6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year</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620,629,535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543,674,553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758,887,889</w:t>
            </w:r>
          </w:p>
        </w:tc>
        <w:tc>
          <w:tcPr>
            <w:tcW w:w="20" w:type="dxa"/>
            <w:vAlign w:val="bottom"/>
          </w:tcPr>
          <w:p>
            <w:pPr>
              <w:spacing w:after="0"/>
              <w:rPr>
                <w:sz w:val="18"/>
                <w:szCs w:val="18"/>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unrecognized revenue-producing assets that are held by the VIE primarily consist of ICP License, Production License for National Industrial Products, trademarks, patents, know-how and customer relationships. None of the assets of the VIE can be used only to settle obligations of the VIE. None of the assets of the VIE and its subsidiaries has been pledged or collateralized,. The creditors of the VIE and its subsidiaries do not have recourse to the general credit of the Company or its consolidated subsidiaries, except for the restricted cash of the Company which was pledged as collateral for the short -term bank borrowings.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presentation</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of the Group have been prepared in accordance with accounting principles generally accepted in the United States of America (“U.S. GAAP”).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Principles of consolidation</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the Group have been prepared in accordance with U.S. GAAP. The consolidated financial statements include the financial statements of the Company, its subsidiaries, the VIE for which the Company or its subsidiary is the primary beneficiary, and the VIE’s subsidiaries.</w:t>
      </w:r>
    </w:p>
    <w:p>
      <w:pPr>
        <w:spacing w:after="0" w:line="1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Subsidiaries are those entities in which the Company, directly or indirectly, controls more than one half of the voting power or has the power to govern the financial and operating policies, to appoint or remove the majority of the members of the board of directors, or to cast a majority of votes at the meeting of directors. A VIE is an entity in which the Company, or its subsidiary, through contractual arrangements, exercises effective control over the activities that most impact the economic performance, bears the risks of, and enjoys the rewards normally associated with ownership of the entity, and therefore the Company or its subsidiary is the primary beneficiary of the entity.</w:t>
      </w:r>
    </w:p>
    <w:p>
      <w:pPr>
        <w:spacing w:after="0" w:line="14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intercompany transactions and balances among the Company, its subsidiaries, the VIE and the VIE’s subsidiaries have been eliminated upon consolidation.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Use of estimates</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revenues and expenses during the reported period in the consolidated financial statements and accompanying notes. Accounting estimates include, but not limited to, depreciable lives of property, plant and equipment, and intangible assets, the realization of deferred income tax assets, future warranty expenses, current expected credit loss, lower of cost and net realizable value of inventories, inventory valuation for excess and obsolete inventories and discount rate for operating leases. Changes in facts and circumstances may result in revising estimates. Actual results could differ from those estimates, and as such, differences may be material to the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Convenience translation</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Translations of balances in the consolidated financial statements from RMB into US$ as of and for the year ended December 31, 2025 are solely for the convenience of the readers and were calculated at the rate of US$1.00=RMB6.9931, the exchange rate in effect as of December 31, 2025, as set forth in the H.10 Statistical release of the Board of Governors of the Federal Reserve System. No representation is made that the RMB amounts could have been, or could be, converted, realized or settled into US$ at that rate on December 31, 2025, or at any other rate. The US$ convenience translation is not required under U.S. GAAP and all US$ convenience translation amounts in the accompanying consolidated financial statements are unaudited.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Commitments and contingencies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Group is subject to loss contingencies, such as legal proceedings and claims arising out of its business, that cover a wide range of matters, including, among others, government investigations, shareholder lawsuits, and non-income tax matters. An accrual for a loss contingency is recognized when it is probable that a liability has been incurred and the amount of loss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Cash and cash equivalents</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consists of cash on hand and cash at bank. Cash equivalents represent term deposits with original maturities of three months or less, which are readily convertible to known amounts of cash. Cash and cash equivalents, excluding cash on hand, are deposited in financial institutions at the following locations:</w:t>
      </w:r>
    </w:p>
    <w:p>
      <w:pPr>
        <w:spacing w:after="0" w:line="18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32" w:lineRule="exact"/>
        <w:rPr>
          <w:sz w:val="20"/>
          <w:szCs w:val="20"/>
          <w:color w:val="auto"/>
        </w:rPr>
      </w:pPr>
    </w:p>
    <w:tbl>
      <w:tblPr>
        <w:tblLayout w:type="fixed"/>
        <w:tblInd w:w="10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76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5760" w:type="dxa"/>
            <w:vAlign w:val="bottom"/>
          </w:tcPr>
          <w:p>
            <w:pPr>
              <w:ind w:left="564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292"/>
              <w:spacing w:after="0" w:line="12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292"/>
              <w:spacing w:after="0" w:line="12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98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institutions in mainland China</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—Denominated in RMB</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229,710,326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546,200,227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—Denominated in USD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311,341,363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216,499,485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—Denominated in EUR</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66,246,844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103,125,928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—Denominated in GBP</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1,127,657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1,286,142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760" w:type="dxa"/>
            <w:vAlign w:val="bottom"/>
            <w:tcBorders>
              <w:right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cash and cash equivalents balances held at financial institutions in</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mainland China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608,426,190</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867,111,782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institutions in the United States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—Denominated in USD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1,583,932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Borders>
              <w:top w:val="single" w:sz="8" w:color="CCEEFF"/>
              <w:righ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balances held at financial institutions in the United States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1,583,932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497,269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Borders>
              <w:top w:val="single" w:sz="8" w:color="CCEEFF"/>
              <w:righ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institutions in Hong Kong S.A.R.</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—Denominated in USD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9,328,332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41,517,988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—Denominated in HKD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—Denominated in EUR</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balances held at financial institutions in Hong Kong S.A.R.</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9,379,742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41,558,568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balances held at financial institutions in other locations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10,485,440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15,382,246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equivalents balances held at financial institutions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629,875,304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924,549,865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Term deposits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Term deposits represent deposits placed with bank with original maturities of more than three months but less than one year. Term deposits are presented in the following table:</w:t>
      </w:r>
    </w:p>
    <w:p>
      <w:pPr>
        <w:spacing w:after="0" w:line="142"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32" w:lineRule="exact"/>
        <w:rPr>
          <w:sz w:val="20"/>
          <w:szCs w:val="20"/>
          <w:color w:val="auto"/>
        </w:rPr>
      </w:pPr>
    </w:p>
    <w:tbl>
      <w:tblPr>
        <w:tblLayout w:type="fixed"/>
        <w:tblInd w:w="10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76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5760" w:type="dxa"/>
            <w:vAlign w:val="bottom"/>
          </w:tcPr>
          <w:p>
            <w:pPr>
              <w:ind w:left="564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297"/>
              <w:spacing w:after="0" w:line="12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297"/>
              <w:spacing w:after="0" w:line="12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980" w:type="dxa"/>
            <w:vAlign w:val="bottom"/>
            <w:tcBorders>
              <w:top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institutions in mainland China</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—Denominated in RMB</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—Denominated in USD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254,351,895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128,235,695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term deposits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274,351,895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128,235,695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Restricted cash</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Restricted cash is an amount of cash deposited with banks primarily in conjunction with borrowings from banks. Restriction on the use of such cash and the interest earned thereon is imposed by the banks and remains effective throughout the terms of the bank borrowings. Restricted cash is classified as current asset on the Company’s consolidated balance sheets, as all the balance are expected to be released to cash within the next twelve months from December 31, 2025. The Group’s restricted cash are denominated in USD and RMB and are deposited in mainland China.</w:t>
      </w:r>
    </w:p>
    <w:p>
      <w:pPr>
        <w:spacing w:after="0" w:line="14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consolidated balance sheets that sum to the total of the same such amounts shown in the consolidated statements of cash flows.</w:t>
      </w:r>
    </w:p>
    <w:p>
      <w:pPr>
        <w:spacing w:after="0" w:line="16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32" w:lineRule="exact"/>
        <w:rPr>
          <w:sz w:val="20"/>
          <w:szCs w:val="20"/>
          <w:color w:val="auto"/>
        </w:rPr>
      </w:pPr>
    </w:p>
    <w:tbl>
      <w:tblPr>
        <w:tblLayout w:type="fixed"/>
        <w:tblInd w:w="1000" w:type="dxa"/>
        <w:tblCellMar>
          <w:top w:w="0" w:type="dxa"/>
          <w:left w:w="0" w:type="dxa"/>
          <w:bottom w:w="0" w:type="dxa"/>
          <w:right w:w="0" w:type="dxa"/>
        </w:tblCellMar>
      </w:tblPr>
      <w:tr>
        <w:trPr>
          <w:trHeight w:val="20"/>
        </w:trPr>
        <w:tc>
          <w:tcPr>
            <w:tcW w:w="566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122"/>
        </w:trPr>
        <w:tc>
          <w:tcPr>
            <w:tcW w:w="5660" w:type="dxa"/>
            <w:vAlign w:val="bottom"/>
          </w:tcPr>
          <w:p>
            <w:pPr>
              <w:ind w:left="55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357"/>
              <w:spacing w:after="0" w:line="12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660" w:type="dxa"/>
            <w:vAlign w:val="bottom"/>
          </w:tcPr>
          <w:p>
            <w:pPr>
              <w:spacing w:after="0"/>
              <w:rPr>
                <w:sz w:val="12"/>
                <w:szCs w:val="12"/>
                <w:color w:val="auto"/>
              </w:rPr>
            </w:pPr>
          </w:p>
        </w:tc>
        <w:tc>
          <w:tcPr>
            <w:tcW w:w="980" w:type="dxa"/>
            <w:vAlign w:val="bottom"/>
            <w:tcBorders>
              <w:top w:val="single" w:sz="8" w:color="auto"/>
            </w:tcBorders>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56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630,021,303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924,738,132</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216,395,796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210,864,000</w:t>
            </w:r>
          </w:p>
        </w:tc>
      </w:tr>
      <w:tr>
        <w:trPr>
          <w:trHeight w:val="210"/>
        </w:trPr>
        <w:tc>
          <w:tcPr>
            <w:tcW w:w="566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846,417,099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1,135,602,132</w:t>
            </w:r>
          </w:p>
        </w:tc>
      </w:tr>
      <w:tr>
        <w:trPr>
          <w:trHeight w:val="20"/>
        </w:trPr>
        <w:tc>
          <w:tcPr>
            <w:tcW w:w="5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Short-term investments</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Group’s short-term investments represent the Group’s investments in financial products managed by financial institutions in mainland China which are redeemable at the option of the Group on any working day or have the original maturities of less than twelve months. The Group elected the fair value option at the date of initial recognition in accordance with Accounting Standards Codification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as the Group believes this approach can better reflect the economics of its investment interest. Changes in the fair value of these investments in the amounts of RMB1,426,370, RMB2,358,995 and RMB5,543,812 for the years ended December 31, 2023, 2024 and 2025, respectively, were reflected on the consolidated statement of comprehensive loss as investment income. Fair value is estimated based on quoted prices provided by financial institutions at the end of each reporting period. As of December 31, 2024 and 2025, the balances of short-term investments were nil and RMB62,661,176, respectively.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Inventories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Inventories, consisting of finished goods and raw materials are stated at the lower of cost or net realizable value. The cost of inventory is determined using the weighted average cost method. Cost of finished goods comprise direct materials, direct production costs and an allocation of production overheads based on normal operating capacity, and shipping cost. The Group takes ownership, risks and rewards of the products purchased. Inventory is written down for damaged and slow-moving goods, which is dependent upon factors such as historical and forecasted consumer demand. The Group also reviews inventory to determine whether its carrying value exceeds the net realizable value, which is the estimated selling prices in the ordinary course of business, less reasonably predictable costs of completion, disposal, and transportation. Once inventory is written down, a new, lower cost basis for that inventory is established and subsequent changes in facts and circumstances do not result in the restoration or increase in that newly established cost basis.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Property, plant and equipment, net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and any recorded impairment.</w:t>
      </w:r>
    </w:p>
    <w:p>
      <w:pPr>
        <w:spacing w:after="0" w:line="198"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8"/>
          <w:szCs w:val="18"/>
          <w:color w:val="auto"/>
        </w:rPr>
        <w:t>Costs incurred in the construction of property, plant and equipment, including down payments and progress payments, are initially capitalized as construction in progress and transferred into their respective asset categories when the assets are ready for their intended use, at which time depreciation commences.</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estimated useful lives are as follows: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28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w:t>
            </w:r>
          </w:p>
        </w:tc>
        <w:tc>
          <w:tcPr>
            <w:tcW w:w="480" w:type="dxa"/>
            <w:vAlign w:val="bottom"/>
            <w:shd w:val="clear" w:color="auto" w:fill="CCEEFF"/>
          </w:tcPr>
          <w:p>
            <w:pPr>
              <w:spacing w:after="0" w:line="20" w:lineRule="exact"/>
              <w:rPr>
                <w:sz w:val="1"/>
                <w:szCs w:val="1"/>
                <w:color w:val="auto"/>
              </w:rPr>
            </w:pPr>
          </w:p>
        </w:tc>
        <w:tc>
          <w:tcPr>
            <w:tcW w:w="48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2660" w:type="dxa"/>
            <w:vAlign w:val="bottom"/>
            <w:vMerge w:val="continue"/>
            <w:shd w:val="clear" w:color="auto" w:fill="CCEEFF"/>
          </w:tcPr>
          <w:p>
            <w:pPr>
              <w:spacing w:after="0"/>
              <w:rPr>
                <w:sz w:val="18"/>
                <w:szCs w:val="18"/>
                <w:color w:val="auto"/>
              </w:rPr>
            </w:pPr>
          </w:p>
        </w:tc>
        <w:tc>
          <w:tcPr>
            <w:tcW w:w="5280" w:type="dxa"/>
            <w:vAlign w:val="bottom"/>
            <w:gridSpan w:val="3"/>
            <w:shd w:val="clear" w:color="auto" w:fill="CCEEFF"/>
          </w:tcPr>
          <w:p>
            <w:pPr>
              <w:jc w:val="right"/>
              <w:ind w:right="3970"/>
              <w:spacing w:after="0"/>
              <w:rPr>
                <w:sz w:val="20"/>
                <w:szCs w:val="20"/>
                <w:color w:val="auto"/>
              </w:rPr>
            </w:pPr>
            <w:r>
              <w:rPr>
                <w:rFonts w:ascii="Times New Roman" w:cs="Times New Roman" w:eastAsia="Times New Roman" w:hAnsi="Times New Roman"/>
                <w:sz w:val="18"/>
                <w:szCs w:val="18"/>
                <w:color w:val="auto"/>
              </w:rPr>
              <w:t>​​​3 - 5 years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5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88"/>
              </w:rPr>
              <w:t>3</w:t>
            </w:r>
          </w:p>
        </w:tc>
        <w:tc>
          <w:tcPr>
            <w:tcW w:w="4700" w:type="dxa"/>
            <w:vAlign w:val="bottom"/>
          </w:tcPr>
          <w:p>
            <w:pPr>
              <w:jc w:val="right"/>
              <w:ind w:right="3870"/>
              <w:spacing w:after="0"/>
              <w:rPr>
                <w:sz w:val="20"/>
                <w:szCs w:val="20"/>
                <w:color w:val="auto"/>
              </w:rPr>
            </w:pPr>
            <w:r>
              <w:rPr>
                <w:rFonts w:ascii="Times New Roman" w:cs="Times New Roman" w:eastAsia="Times New Roman" w:hAnsi="Times New Roman"/>
                <w:sz w:val="18"/>
                <w:szCs w:val="18"/>
                <w:color w:val="auto"/>
              </w:rPr>
              <w:t>- 10 years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w:t>
            </w:r>
          </w:p>
        </w:tc>
        <w:tc>
          <w:tcPr>
            <w:tcW w:w="52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50 years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Office and electronic equipment</w:t>
            </w:r>
          </w:p>
        </w:tc>
        <w:tc>
          <w:tcPr>
            <w:tcW w:w="5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88"/>
              </w:rPr>
              <w:t>2</w:t>
            </w:r>
          </w:p>
        </w:tc>
        <w:tc>
          <w:tcPr>
            <w:tcW w:w="4700" w:type="dxa"/>
            <w:vAlign w:val="bottom"/>
          </w:tcPr>
          <w:p>
            <w:pPr>
              <w:jc w:val="right"/>
              <w:ind w:right="3970"/>
              <w:spacing w:after="0"/>
              <w:rPr>
                <w:sz w:val="20"/>
                <w:szCs w:val="20"/>
                <w:color w:val="auto"/>
              </w:rPr>
            </w:pPr>
            <w:r>
              <w:rPr>
                <w:rFonts w:ascii="Times New Roman" w:cs="Times New Roman" w:eastAsia="Times New Roman" w:hAnsi="Times New Roman"/>
                <w:sz w:val="18"/>
                <w:szCs w:val="18"/>
                <w:color w:val="auto"/>
                <w:w w:val="99"/>
              </w:rPr>
              <w:t>- 5 years</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2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The shorter of the estimated useful life or remaining lease term</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5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88"/>
              </w:rPr>
              <w:t>3</w:t>
            </w:r>
          </w:p>
        </w:tc>
        <w:tc>
          <w:tcPr>
            <w:tcW w:w="4700" w:type="dxa"/>
            <w:vAlign w:val="bottom"/>
          </w:tcPr>
          <w:p>
            <w:pPr>
              <w:jc w:val="right"/>
              <w:ind w:right="3970"/>
              <w:spacing w:after="0"/>
              <w:rPr>
                <w:sz w:val="20"/>
                <w:szCs w:val="20"/>
                <w:color w:val="auto"/>
              </w:rPr>
            </w:pPr>
            <w:r>
              <w:rPr>
                <w:rFonts w:ascii="Times New Roman" w:cs="Times New Roman" w:eastAsia="Times New Roman" w:hAnsi="Times New Roman"/>
                <w:sz w:val="18"/>
                <w:szCs w:val="18"/>
                <w:color w:val="auto"/>
                <w:w w:val="99"/>
              </w:rPr>
              <w:t>- 4 years</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on property, plant and equipment is calculated on the straight-line method over the estimated useful lives of the assets.</w:t>
      </w:r>
    </w:p>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Depreciation of property, plant and equipment attributable to manufacturing activities is capitalized as part of inventories, and recognized as cost of revenues when the inventory is sold.</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When items are retired or otherwise disposed of, income is charged or credited for the difference between net book value and the proceeds received thereon. Ordinary maintenance and repairs are charged to expense as incurred, and replacements and betterments are capitalized and amortized over the remaining useful life.</w:t>
      </w:r>
    </w:p>
    <w:p>
      <w:pPr>
        <w:spacing w:after="0" w:line="131" w:lineRule="exact"/>
        <w:rPr>
          <w:sz w:val="20"/>
          <w:szCs w:val="20"/>
          <w:color w:val="auto"/>
        </w:rPr>
      </w:pPr>
    </w:p>
    <w:p>
      <w:pPr>
        <w:ind w:left="360" w:hanging="352"/>
        <w:spacing w:after="0"/>
        <w:tabs>
          <w:tab w:leader="none" w:pos="360" w:val="left"/>
        </w:tabs>
        <w:numPr>
          <w:ilvl w:val="0"/>
          <w:numId w:val="8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Intangible assets, net</w:t>
      </w:r>
    </w:p>
    <w:p>
      <w:pPr>
        <w:spacing w:after="0" w:line="20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Intangible assets acquired separately are measured on initial recognition at cost. Following initial recognition, intangible assets with finite lives are carried at cost less any accumulated amortization and any accumulated impairment losses.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Intangible assets with finite lives are amortized over the useful economic life on straight-line basis and assessed for impairment whenever there is an indication that the intangible assets may be impaired.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Leases</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Group elected the practical expedient of the short-term lease exemption for contracts with lease terms of twelve months or less. The Group categorizes leases with contractual terms longer than twelve months as either operating or finance lease. However, the Group has no finance leases for any of the periods presented.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Group determines if an arrangement is a lease or contains a lease at lease inception. For operating leases, the Group recognizes a right-of-use asset and a lease liability based on the present value of the lease payments over the lease term, reduced by lease incentives received, plus any initial direct costs, using the discount rate for the lease at the commencement date. Variable lease payments not dependent on an index or rate are excluded from the right-of-use asset and lease liability calculations and are recognized in expense in the period which the obligation for those payments is incurred. As the rate implicit in the Group’s lease is not typically readily available, the Group uses an incremental borrowing rate based on the information available at the lease commencement date in determining the present value of lease payments. This incremental borrowing rate reflects the fixed rate at which the Group could borrow the amount of the lease payments on a collateralized basis in the same currency, for a similar term, in a similar economic environment. The Group’s lease terms may include options to extend or terminate the lease. Such options are accounted for only when it is reasonably certain that the Group will exercise the options. Lease expense for lease payments is recognized on a straight-line basis over the lease term.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Impairment of long-lived assets</w:t>
      </w:r>
    </w:p>
    <w:p>
      <w:pPr>
        <w:spacing w:after="0" w:line="2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Long-lived assets such as property, plant and equipment, intangible assets and operating lease right-of-use assets with finite lives are evaluated for impairment whenever events or changes in circumstances indicate that the carrying value of an asset may not be fully recoverable. When these events occur, the Group evaluates the impairment for the long-lived assets by comparing the carrying value of the assets with an estimate of future undiscounted cash flows expected to be generated from the use of the assets and their eventual disposition. If the sum of the expected future undiscounted cash flows is less than the carrying value of the assets, the Group recognizes an impairment loss based on the excess of the carrying value of the assets over the fair value of the assets. No impairment of long-lived assets was recognized for the years ended December 31, 2023, 2024 and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  Fair value measurements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Fair value represents the price that would be received from selling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w:t>
      </w:r>
    </w:p>
    <w:p>
      <w:pPr>
        <w:spacing w:after="0" w:line="1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Accounting guidance defines fair value, establishes a framework for measuring fair value and expands disclosures about fair value measurements. Accounting guidance establishes a three-level fair value hierarchy and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are:</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1—Observable inputs that reflect quoted prices (unadjusted) for identical assets or liabilities in active markets.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2—Include other inputs that are directly or indirectly observable in the marketplace.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3—Unobservable inputs which are supported by little or no market activity.</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Accounting guidance also describes three main approaches to measuring the fair value of assets and liabilities: (1) market approach;</w:t>
      </w:r>
    </w:p>
    <w:p>
      <w:pPr>
        <w:spacing w:after="0" w:line="27" w:lineRule="exact"/>
        <w:rPr>
          <w:sz w:val="20"/>
          <w:szCs w:val="20"/>
          <w:color w:val="auto"/>
        </w:rPr>
      </w:pPr>
    </w:p>
    <w:p>
      <w:pPr>
        <w:jc w:val="both"/>
        <w:ind w:firstLine="8"/>
        <w:spacing w:after="0" w:line="253" w:lineRule="auto"/>
        <w:tabs>
          <w:tab w:leader="none" w:pos="2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Financial assets and liabilities of the Group primarily consist of cash and cash equivalents, term deposits, restricted cash, short-term investments, accounts receivable, other receivables, short-term bank borrowings, notes payable, accounts payable, and other payables. The Group measures short-term investments at fair value on a recurring basis. Short-term investments represent financial products issued by financial institutions, the fair value of which is measured based on prices quoted by the issuers. They are categorized in Level 2 of the fair value hierarchy.</w:t>
      </w:r>
    </w:p>
    <w:p>
      <w:pPr>
        <w:spacing w:after="0" w:line="1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and 2025, the carrying amount of accounts receivable, other receivables, notes payable, accounts payable, and other payables are carried at cost which approximates their fair values due to the short-term nature of the instruments, the carrying amount of cash and cash equivalents, term deposits, restricted cash and short-term bank borrowings approximates its fair value as interest rate is comparable to the prevailing interest rate in the market.</w:t>
      </w:r>
    </w:p>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Group’s non-financial assets, such as property, plant and equipment, intangible assets and operating lease right-of-use assets, would be measured at fair value only if they were determined to be impaired.</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  Revenue recognition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Group generates substantially all of its revenues from sales of electric scooters, accessories and spare parts. In mainland China, the Group sells these products to offline distributors and also sells accessories and spare parts online. In overseas markets, the Group sells these products to offline business partners, as well as directly to individual customers online. The Group also generates revenues from its subscription-based mobile application services and insurance agency services.</w:t>
      </w:r>
    </w:p>
    <w:p>
      <w:pPr>
        <w:spacing w:after="0" w:line="15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Group recognizes revenues upon the satisfaction of its performance obligation (upon transfer of control of promised goods or services to customers) in an amount that reflects the consideration to which the Group expects to be entitled to in exchange for those goods or services, excluding amounts collected on behalf of third parties (for example, value added taxes). For each performance obligation satisfied over time, the Group recognizes revenue over time by measuring the progress toward complete satisfaction of that performance obligation. If the Group does not satisfy a performance obligation over time, the performance obligation is satisfied at a point in time.</w:t>
      </w:r>
    </w:p>
    <w:p>
      <w:pPr>
        <w:spacing w:after="0" w:line="14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To achieve that core principle, the Group applies the five steps defined under ASC Topic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(i) identify the contract(s) with a customer, (ii) identify the performance obligations in the contract, (iii) determine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price, (iv) allocate the transaction price to the performance obligations in the contract, and (v) recognize revenue when (or as) the entity satisfies a performance obligation. The Group assesses its revenue arrangements against specific criteria in order to determine if it is acting as principal or agent. Revenue arrangements with multiple performance obligations are divided into separate distinct goods or services. A performance obligation is considered distinct from other obligations in a contract when it (a) provides a benefit to the customer either on its own or together with other resources that are readily available to the customer and (b) is separately identified in the contract. The Group allocates the transaction price to each performance obligation based on the relative stand-alone selling price (“SSP”) of the goods or services provided. Revenue is recognized upon the transfer of control of promised goods or services to a customer.</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Products</w:t>
      </w:r>
    </w:p>
    <w:p>
      <w:pPr>
        <w:spacing w:after="0" w:line="20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Group identified one performance obligation which is to sell products, such as electric scooters, accessories and spare parts, to offline distributors in mainland China and business partners in overseas markets, or directly to overseas individual customers online. For all sales of products, the Group requires a signed contract or purchase order, which specifies pricing, quantity and product specifications. Revenue of product sales is recognized on a gross basis upon the satisfaction of its performance obligation, which is to transfer the control of the promised products to customers.</w:t>
      </w:r>
    </w:p>
    <w:p>
      <w:pPr>
        <w:spacing w:after="0" w:line="14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transfer of control of the products is satisfied at a point in time. When the Group sells its products to its domestic offline distributors in mainland China, the transfer of control of the products is evidenced by goods receipt notes signed by the domestic offline distributors or their designated carriers, which is generally at the Group’s warehouse. When the Group sells its products to overseas offline business partners, the transfer of control of the products is evidenced by shipping documents dependent upon the terms of the underlying contract. When the Group sells its products to individual customers through its own online store and third-party e-commerce platforms, the Group is responsible for the delivery to individual customers. The transfer of control of the products is evidenced by goods receipt notes signed by individual customers.</w:t>
      </w:r>
    </w:p>
    <w:p>
      <w:pPr>
        <w:spacing w:after="0" w:line="14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Group provides sales volume rebates to qualified distributors and business partners based on the volume sold to them in a certain period and grants online individual customers unconditional right to return the products within 7 to 30 days after their acceptance.</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Revenues are measured as the amount of consideration the Group expects to receive in exchange for transferring products to domestic and overseas offline business partners or individual customers. Consideration is recorded net of sales volume rebate, sales returns and VAT. Sales returns are estimated based on historical experience and are recognized as a reduction of revenue. The amount of sales returns was insignificant for the years ended December 31, 2023, 2024 and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Group utilizes delivery service providers to deliver products to overseas offline business partners and individual customers (“shipping activities”), but the delivery service is not considered as a separate obligation as the shipping activities are performed before the overseas offline business partners and individual customers obtain control of the products. Therefore, shipping activities are not considered a separate promised service to them but rather are activities to fulfill the Group’s promise to transfer the products. Outbound shipping charges to overseas offline business partners and individual customers are included as a part of the revenues, and outbound shipping-related costs are included in our inventory and recognized as cost of revenue upon sale of products to overseas offline business partners and individual customers. Shipping costs incurred for sales of products and recognized as cost of revenues were RMB52,541,201, RMB70,938,685 and RMB74,501,053 for the years ended December 31, 2023, 2024 and 2025, respectively.</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collected before product delivery is recognized as advances from customers.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Service</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When the Group sells its smart electric scooters to its customers, it generally provides mobile application services for free for one year (the “free service period”). Customers are able to locate their smart electric scooters, as well as obtain the operating status (e.g. battery status, mileage and real-time positioning), and claim online repair and maintenance requests by registering their smart electric scooters on the Group’s mobile application. Customers may elect to subscribe to such services after the free service period if they want to continue using aforementioned functions.</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Such revenue arrangements are divided into separate distinct performance obligations, including electric scooters and mobile application services. The Group determines the SSP for electric scooters and mobile application services based on their relative selling prices.</w:t>
      </w:r>
    </w:p>
    <w:p>
      <w:pPr>
        <w:spacing w:after="0" w:line="1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allocated revenue to mobile application services for the free service period and subscribed mobile application service revenue is deferred and recognized on a straight-line basis over the service period, as the Group determines that the customer simultaneously receives and consumes benefits provided by the Group as the Group performs during the free service period or the subscription period.</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deferred revenue that will be recognized in the next twelve months is classified as current portion, and the remaining balance of deferred revenue is classified as non-current portion.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Group also sells insurance plan for electric scooters, named NIU Cover, to individual customers at their option. The insurance is provided by third party insurance companies. The Group determines that it acts as an agent for the NIU Cover service because it does not obtain control of the service before the service is transferred to the customers. The Group recognizes revenue on net basis when the insurance agreement is entered into between individual customers and insurance providers.</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remaining performance obligation disclosure provides the aggregate amount of the transaction price yet to be recognized as of the end of the reporting period and an explanation as to when the Group expects to recognize these amounts in revenue.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the aggregate amount of the transaction price allocated to remaining performance obligations that are unsatisfied or partially unsatisfied was RMB281,062,668. Given the profile of contract terms, RMB257,746,493 of the remaining performance obligation is expected to be recognized as revenue within the next 12 months.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  Contract Balances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Accounts receivable are recorded at the invoiced amount and do not bear interest. Amounts collected on accounts receivable are included in net cash provided by operating activities in the consolidated statements of cash flows.</w:t>
      </w:r>
    </w:p>
    <w:p>
      <w:pPr>
        <w:spacing w:after="0" w:line="1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provision of credit losses for accounts receivable is based upon the current expected credit losses (“CECL”) model. The CECL model requires an estimate of the credit losses expected over the life of accounts receivable since initial recognition, and accounts receivable with similar risk characteristics are grouped together when estimating CECL. In assessing the CECL, the Group considers both quantitative and qualitative information that is reasonable and supportable, including historical credit loss experience, adjusted for relevant factors impacting collectability and forward-looking information indicative of external market conditions. While the Group uses the best information available in making determination, the ultimate recovery of recorded receivables is also dependent upon future economic events and other conditions that may be beyond the Group’s control.</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Accounts receivable which are deemed to be uncollectible are charged off against the allowance after all means of collection have been exhausted and the potential for recovery is considered remote. There is a time lag between when the Group estimates a portion of or the entire account balances to be uncollectible and when a write off of the account balances is taken. The Group does not have any off-balance sheet credit exposure related to its customers.</w:t>
      </w:r>
    </w:p>
    <w:p>
      <w:pPr>
        <w:spacing w:after="0" w:line="13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contract liability is recognized when the Group has an obligation to transfer products or services to a customer for which the Group has received consideration from the customer, or for which an amount of consideration is due from the customer. Contract liabilities are included in advances from customers and deferred revenue on the consolidated balance sheets. Balances of contract liabilities were RMB103,026,822 and RMB281,062,668 as of December 31, 2024 and 2025, respectively. Revenue recognized during the years ended December 31, 2024 and 2025 from contract liabilities at the beginning of each respective year was RMB61,059,585 and RMB86,139,963,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Warranties</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Group provides for the estimated costs of warranties at the time when revenue is recognized. The specific terms and conditions of those warranties vary among different parts of electric scooters. Factors that affect the Group’s warranty obligation include product defect rates and costs of repair or replacement. These factors are estimates that may change based on new information that becomes available during the reported period. The portion of the warranty reserve expected to be incurred within the next 12 months is included within accrued expenses and other current liabilities while the remaining balance is included within other non-current liabilities on the consolidated balance sheets.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Cost of Revenues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revenues mainly consists of the cost of products sold, shipping costs, tariff costs, write-downs of inventories and warranty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  Selling and Marketing Expenses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Selling and marketing expenses mainly consist of advertising expenses, promotion expenses and payroll and related expenses for personnel engaged in selling and marketing activities, as well as expenses associated with the use of facilities and equipment by these functions, such as depreciation and rental expenses. Advertising and promotion expenses, which consist primarily of online and offline advertisements, are expensed when the services are received. The advertising and promotion expenses were RMB177,824,898, RMB183,032,140 and RMB313,062,356 for the years ended December 31, 2023, 2024 and 2025,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  General and Administrative Expenses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mainly consist of payroll and related costs for employees involved in general corporate functions, professional fees, allowance for doubtful accounts, foreign currency exchange gains (losses) and other general corporate expenses, as well as expenses associated with the use of facilities and equipment by these functions, such as depreciation and rental expenses.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(v)</w:t>
        <w:tab/>
        <w:t>Research and Development Expenses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mainly consist of payroll and related costs for employees involved in researching and developing new products and technologies, and design and development expenses, primarily including validation and testing fees. Research and development expenses are expensed as incurred.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  Government Grants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Government grants are recognized when there is reasonable assurance that the Group will comply with the conditions attached to it and the grant will be received. Grants that compensate the Group for expenses incurred are recognized in the Group’s consolidated statements of comprehensive loss in the same periods in which the expenses are incurred.</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Group’s government grants mainly consist of certain subsidies from local government or industrial parks where its offices locate. There were no significant commitment, contingencies or provision for recapture conditions for the government grants received for the years ended December 31, 2023, 2024 and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  Share-based Compensation</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periodically grants share-based awards, including but not limited to, restricted share units and share options to eligible employees and directors.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Share-based awards granted to employees and directors are measured at the grant date fair value of the awards, and are recognized as compensation expense using the straight-line method over the requisite service period, which is generally the vesting period. Forfeitures are accounted when they occur.</w:t>
      </w:r>
    </w:p>
    <w:p>
      <w:pPr>
        <w:spacing w:after="0" w:line="1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change in any of the terms or conditions of share-based awards is accounted for as a modification of the awards. The Group calculates incremental compensation cost of a modification as the excess of the fair value of the modified awards over the fair value of the original awards immediately before its terms are modified at the modification date. For vested awards, the Group recognizes incremental compensation cost in the period the modification occurs. For awards not being fully vested, the Group recognizes the sum of the incremental compensation cost and the remaining unrecognized compensation cost for the original awards over the remaining requisite service period after modification.</w:t>
      </w:r>
    </w:p>
    <w:p>
      <w:pPr>
        <w:spacing w:after="0" w:line="14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Share-based compensation in relation to the restricted share units is measured based on the fair value of the Company’s ordinary shares at the grant date of the award. The fair value is the closing price of the Company’s American Depositary Shares (“ADSs”) traded in the open market on the grant date, converted into the equivalent value per ordinary share. Share-based compensation in relation to the share options is estimated using the Binominal Option Pricing Model. The determination of the fair value of share options is affected by the share price of the Company’s ordinary shares as well as the assumptions regarding a number of variables, including the expected share price volatility (estimated based on the historical volatility of the Company and comparable peer public companies with a time horizon close to the expected term of the Company’s options), risk-free interest rate, exercise multiple and expected dividend yield. The fair value of these awards was determined with the assistance from a valuation report prepared by an independent valuation firm using management’s estimates and assumptions.</w:t>
      </w:r>
    </w:p>
    <w:p>
      <w:pPr>
        <w:spacing w:after="0" w:line="14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(y)</w:t>
        <w:tab/>
        <w:t>Employee Benefits</w:t>
      </w:r>
    </w:p>
    <w:p>
      <w:pPr>
        <w:spacing w:after="0" w:line="2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subsidiaries in mainland China, the VIE and VIE’s subsidiaries participate in a government mandated, multiemployer, defined contribution plan, pursuant to which certain retirement, medical, housing and other welfare benefits are provided to employees. PRC labor laws require the entities incorporated in China to pay a monthly contribution calculated at a stated contribution rate on the monthly compensation of qualified employees. The Group has no further commitments beyond its monthly contribution. Employee social benefits included as cost of revenues and expenses in the accompanying consolidated statements of comprehensive loss amounted to RMB42,376,447, RMB43,792,304 and RMB51,032,540 for the years ended December 31, 2023, 2024 and 2025,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80" w:hanging="372"/>
        <w:spacing w:after="0"/>
        <w:tabs>
          <w:tab w:leader="none" w:pos="380" w:val="left"/>
        </w:tabs>
        <w:numPr>
          <w:ilvl w:val="0"/>
          <w:numId w:val="8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Current income taxes are provided on the basis of net loss for financial reporting purposes, and adjusted for income and expense items which are not assessable or deductible for income tax purposes, in accordance with the regulations of the relevant tax jurisdictions. Deferred income taxes are provided using the asset and liability method. Under this method, deferred income tax assets and liabilities are recognized for the tax effects of temporary differences and are determined by applying enacted statutory tax rates that will be in effect in the period in which the temporary differences are expected to reverse to the temporary differences between the financial statements’ carrying amounts and the tax bases of assets and liabilities. Deferred tax assets and liabilities are offset if there is a legally enforceable right to offset deferred tax liabilities and assets, and they relate to income taxes levied by the same tax authority on the same taxable entity.</w:t>
      </w:r>
    </w:p>
    <w:p>
      <w:pPr>
        <w:spacing w:after="0" w:line="16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valuation allowance is provided to reduce the amount of deferred income tax assets if based on the weight of available evidence, it is more-likely-than-not that some portion, or all, of the deferred income tax assets will not be realized. The effect on deferred income taxes arising from a change in tax rates is recognized in the consolidated statements of comprehensive loss in the period of change.</w:t>
      </w:r>
    </w:p>
    <w:p>
      <w:pPr>
        <w:spacing w:after="0" w:line="13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Group applies a “more likely than not” recognition threshold in the evaluation of uncertain tax positions. The Group recognizes the benefit of a tax position in its consolidated financial statements if the tax position is “more likely than not” to prevail based on the facts and technical merits of the position. Tax positions that meet the “more likely than not” recognition threshold are measured at the largest amount of tax benefit that has a greater than fifty percent likelihood of being realized upon settlement. Unrecognized tax benefits may be affected by changes in interpretation of laws, rulings of tax authorities, tax audits, and expiry of statutory limitations. In addition, changes in facts, circumstances and new information may require the Group to adjust the recognition and measurement estimates with regard to individual tax positions. Accordingly, unrecognized tax benefits are periodically reviewed and re-assessed. Adjustments, if required, are recorded in the Group’s consolidated financial statements in the period in which the change that necessities the adjustments occur. The ultimate outcome for a particular tax position may not be determined with certainty prior to the conclusion of a tax audit and, in certain circumstances, a tax appeal or litigation process. The Group records interest and penalties related to unrecognized tax benefits (if any) in interest expenses and general and administrative expenses, respectively. As of December 31, 2024 and 2025, the Group did not have any significant unrecognized uncertain tax positions.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(aa) Foreign currency translation and foreign currency risks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Group’s reporting currency is Renminbi (“RMB”). The functional currency of the Company and its subsidiaries incorporated in Hong Kong S.A.R., the United States and Singapore is the United States dollars (“US$” or “USD”). For the Company’s subsidiaries incorporated in British Virgin Islands, Indonesia, Switzerland, Germany and Italy, the functional currencies are the Great Britain Pound (“GBP”), Indonesian Rupiah (“IDR”), Swiss Franc (“CHF”) and European Monetary Unit (“EUR”), respectively.</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functional currency of the Company’s subsidiaries in mainland China, the VIE and VIE’s subsidiaries is RMB.</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Transactions denominated in currencies other than the functional currency are remeasured into the functional currency at the exchange rates prevailing at the dates of the transactions. Monetary assets and liabilities denominated in a foreign currency are remeasured into the functional currency using the applicable exchange rate at the balance sheet date. The resulted exchange differences are recorded as foreign currency exchange gains (losses) in the consolidated statements of comprehensive loss.</w:t>
      </w:r>
    </w:p>
    <w:p>
      <w:pPr>
        <w:spacing w:after="0" w:line="15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financial statements of the Company, its subsidiaries incorporated in Hong Kong S.A.R. and non-PRC countries are translated from their respective functional currencies into RMB. Assets and liabilities are translated into RMB using the applicable exchange rates at the balance sheet date. Equity accounts other than earnings generated in the current period are translated into RMB using the appropriate historical rates. Revenues, expenses, gains and losses are translated into RMB using the average exchange rates for the relevant period. The resulted foreign currency translation adjustments are recorded as a component of other comprehensive loss in the consolidated statements of comprehensive loss and the accumulated foreign currency translation adjustments are recorded as a component of accumulated other comprehensive loss in the consolidated statements of changes in shareholders’ equity.</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RMB is not a freely convertible currency. The PRC State Administration for Foreign Exchange, under the authority of the PRC government, controls the conversion of RMB to foreign currencies. The value of the RMB is subject to changes of central government policies and international economic and political developments affecting supply and demand in the China foreign exchange trading system market.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(bb) Concentration and risk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customers and suppliers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summarized the customer with greater than 10% of the total revenue:</w:t>
      </w: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64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50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3680" w:type="dxa"/>
            <w:vAlign w:val="bottom"/>
            <w:gridSpan w:val="2"/>
          </w:tcPr>
          <w:p>
            <w:pPr>
              <w:ind w:left="35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center"/>
              <w:ind w:left="15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1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8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10% of the total revenue:</w:t>
            </w: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A</w:t>
            </w:r>
          </w:p>
        </w:tc>
        <w:tc>
          <w:tcPr>
            <w:tcW w:w="130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w w:val="99"/>
              </w:rPr>
              <w:t>319,208,693</w:t>
            </w:r>
          </w:p>
        </w:tc>
        <w:tc>
          <w:tcPr>
            <w:tcW w:w="320" w:type="dxa"/>
            <w:vAlign w:val="bottom"/>
          </w:tcPr>
          <w:p>
            <w:pPr>
              <w:spacing w:after="0"/>
              <w:rPr>
                <w:sz w:val="20"/>
                <w:szCs w:val="20"/>
                <w:color w:val="auto"/>
              </w:rPr>
            </w:pPr>
          </w:p>
        </w:tc>
        <w:tc>
          <w:tcPr>
            <w:tcW w:w="2100" w:type="dxa"/>
            <w:vAlign w:val="bottom"/>
            <w:gridSpan w:val="4"/>
          </w:tcPr>
          <w:p>
            <w:pPr>
              <w:jc w:val="right"/>
              <w:ind w:right="646"/>
              <w:spacing w:after="0"/>
              <w:rPr>
                <w:sz w:val="20"/>
                <w:szCs w:val="20"/>
                <w:color w:val="auto"/>
              </w:rPr>
            </w:pPr>
            <w:r>
              <w:rPr>
                <w:rFonts w:ascii="Times New Roman" w:cs="Times New Roman" w:eastAsia="Times New Roman" w:hAnsi="Times New Roman"/>
                <w:sz w:val="18"/>
                <w:szCs w:val="18"/>
                <w:color w:val="auto"/>
              </w:rPr>
              <w:t>12 % 527,366,534</w:t>
            </w:r>
          </w:p>
        </w:tc>
        <w:tc>
          <w:tcPr>
            <w:tcW w:w="1760" w:type="dxa"/>
            <w:vAlign w:val="bottom"/>
            <w:gridSpan w:val="4"/>
          </w:tcPr>
          <w:p>
            <w:pPr>
              <w:jc w:val="right"/>
              <w:ind w:right="308"/>
              <w:spacing w:after="0"/>
              <w:rPr>
                <w:sz w:val="20"/>
                <w:szCs w:val="20"/>
                <w:color w:val="auto"/>
              </w:rPr>
            </w:pPr>
            <w:r>
              <w:rPr>
                <w:rFonts w:ascii="Times New Roman" w:cs="Times New Roman" w:eastAsia="Times New Roman" w:hAnsi="Times New Roman"/>
                <w:sz w:val="18"/>
                <w:szCs w:val="18"/>
                <w:color w:val="auto"/>
              </w:rPr>
              <w:t>16 % 731,464,019</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summarized the suppliers with greater than 10% of the total purchase: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138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3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3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jc w:val="center"/>
              <w:ind w:left="1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80" w:type="dxa"/>
            <w:vAlign w:val="bottom"/>
          </w:tcPr>
          <w:p>
            <w:pPr>
              <w:spacing w:after="0"/>
              <w:rPr>
                <w:sz w:val="12"/>
                <w:szCs w:val="12"/>
                <w:color w:val="auto"/>
              </w:rPr>
            </w:pPr>
          </w:p>
        </w:tc>
        <w:tc>
          <w:tcPr>
            <w:tcW w:w="16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8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2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10% of total purchase:</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Supplier Y</w:t>
            </w:r>
          </w:p>
        </w:tc>
        <w:tc>
          <w:tcPr>
            <w:tcW w:w="2300" w:type="dxa"/>
            <w:vAlign w:val="bottom"/>
            <w:gridSpan w:val="3"/>
          </w:tcPr>
          <w:p>
            <w:pPr>
              <w:jc w:val="right"/>
              <w:ind w:right="659"/>
              <w:spacing w:after="0"/>
              <w:rPr>
                <w:sz w:val="20"/>
                <w:szCs w:val="20"/>
                <w:color w:val="auto"/>
              </w:rPr>
            </w:pPr>
            <w:r>
              <w:rPr>
                <w:rFonts w:ascii="Times New Roman" w:cs="Times New Roman" w:eastAsia="Times New Roman" w:hAnsi="Times New Roman"/>
                <w:sz w:val="18"/>
                <w:szCs w:val="18"/>
                <w:color w:val="auto"/>
              </w:rPr>
              <w:t>286,132,811</w:t>
            </w:r>
          </w:p>
        </w:tc>
        <w:tc>
          <w:tcPr>
            <w:tcW w:w="2140" w:type="dxa"/>
            <w:vAlign w:val="bottom"/>
            <w:gridSpan w:val="4"/>
          </w:tcPr>
          <w:p>
            <w:pPr>
              <w:jc w:val="right"/>
              <w:ind w:right="659"/>
              <w:spacing w:after="0"/>
              <w:rPr>
                <w:sz w:val="20"/>
                <w:szCs w:val="20"/>
                <w:color w:val="auto"/>
              </w:rPr>
            </w:pPr>
            <w:r>
              <w:rPr>
                <w:rFonts w:ascii="Times New Roman" w:cs="Times New Roman" w:eastAsia="Times New Roman" w:hAnsi="Times New Roman"/>
                <w:sz w:val="18"/>
                <w:szCs w:val="18"/>
                <w:color w:val="auto"/>
              </w:rPr>
              <w:t>16 % 322,251,970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14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9" w:lineRule="exact"/>
        <w:rPr>
          <w:sz w:val="20"/>
          <w:szCs w:val="20"/>
          <w:color w:val="auto"/>
        </w:rPr>
      </w:pPr>
    </w:p>
    <w:p>
      <w:pPr>
        <w:ind w:left="340" w:hanging="332"/>
        <w:spacing w:after="0"/>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was less than 10% of total purchase.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expose the Group to concentrations of credit risk primarily consist of cash, cash equivalents, term deposits, restricted cash, short-term investments, accounts receivables and other receivables.</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Group’s investment policy requires cash,cash equivalents, term deposits, restricted cash and short-term investments to be placed with high-quality financial institutions and to limit the amount of credit risk from any one issuer. The Group regularly evaluates the credit standing of the counterparties or financial institutions. In determining the credit risk for other receivables, the Group has taken into account the historical default experience and forward-looking information, as appropriate. The management has assessed that no debtors of these receivables had a significant increase in credit risk since initial recognition and risk of default is insignificant, and therefore, no material credit loss allowance was provided for other receivables for the reporting period.</w:t>
      </w:r>
    </w:p>
    <w:p>
      <w:pPr>
        <w:spacing w:after="0" w:line="14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Group conducts credit evaluations on its customers prior to delivery of goods or services. The assessment of customer creditworthiness is primarily based on historical collection records, research of publicly available information and customer on-site visits by senior management. Based on this analysis, the Group determines what credit terms, if any, to offer to each customer individually. If the assessment indicates a likelihood of collection risk, the Group will not deliver the services or sell the products to the customer or require the customer to pay cash, post letters of credit to secure payment or to make significant down payments.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Group’s short-term bank borrowing bears interests at fixed rates. If the Group were to renew these loans, the Group might be subject to interest rate risk.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(cc) Loss per Share</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Basic loss per share is computed by dividing net loss attributable to holders of ordinary shares by the weighted average number of ordinary shares or ordinary share equivalents outstanding during the year using the two-class method. Vested share options, which are exercisable for nominal consideration, and vested restricted share units are included in the calculation of the weighted-average number of shares of ordinary shares as ordinary share equivalents. Under the two-class method, any net income is allocated between ordinary shares and other participating securities based on their participating rights. A net loss is not allocated to participating securities when the participating securities does not have contractual obligation to share losses.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ordinary shareholders by the weighted average number of ordinary shares used in calculating basic net loss per ordinary share and dilutive ordinary equivalent shares outstanding during the period. Ordinary equivalent shares consist of ordinary shares issuable upon the exercise of outstanding share option with the exception of vested share options with nominal exercise consideration and unvested restricted share units (using the treasury stock method). Ordinary equivalent shares are calculated based on the most advantageous conversion rate or exercise price from the standpoint of the security holder. Ordinary equivalent shares are not included in the denominator of the diluted loss per share calculation when inclusion of such shares would be anti-dilutive.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(dd) Segment Reporting</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chief operating decision maker has been identified as the Chief Executive Officer, who reviews consolidated results when making decisions about allocating resources and assessing performance of the Group as a whole. For the purpose of internal reporting and management’s operation review, the Company’s Chief Executive Officer and management personnel do not segregate the Group’s business by product. All products and services are viewed as in one and the only operating segment. The measure of segment assets is reported on the consolidated balance sheets as total consolidated assets. The revenue, costs and expenses, and the net loss for the reportable segment are the same as those presented on the consolidated statements of comprehensive loss.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(ee) Restricted Net Assets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paid-in capitals of the Group’s subsidiaries in mainland China, the VIE and VIE’s subsidiaries are subject to restrictions on their distribution and transfer according to PRC laws and regulations. In addition, in accordance with the PRC Company Laws, the Group’s subsidiaries in mainland China, the VIE and VIE’s subsidiaries must make appropriations from their after-tax profits as determined under the generally accepted accounting principles in the PRC (“PRC GAAP”) to non-distributable reserve funds including statutory surplus fund and discretionary surplus fund. The appropriation to the statutory surplus fund must be 10% of the after-tax profits as determined under PRC GAAP. Appropriation is not required if the statutory surplus fund has reached 50% of the registered capital of the PRC companies. Appropriation to the discretionary surplus fund is made at the discretion of the PRC companies. The statutory surplus fund and discretionary surplus fund are restricted for use. They may only be applied to offset losses or increase the registered capital of the respective companies. These reserves are not allowed to be transferred to the Company by way of cash dividends, loans or advances, nor can they be distributed except for liquidation.</w:t>
      </w:r>
    </w:p>
    <w:p>
      <w:pPr>
        <w:spacing w:after="0" w:line="16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and 2025, the Group had restricted net assets in amount of RMB433,868,390 and RMB433,872,669, respectively, which were comprised of the paid-in capital and statutory surplus fund of the Group’s subsidiaries in mainland China, the VIE and VIE’s subsidiaries.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(ff) Recent Accounting Pronouncements</w:t>
      </w:r>
    </w:p>
    <w:p>
      <w:pPr>
        <w:spacing w:after="0" w:line="18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Improvements to Income Tax Disclosures. The amendments in ASU 2023-09 address investor requests for more transparency about income tax information through improvements to income tax disclosures primarily related to the rate reconciliation and income taxes paid information. This ASU also includes certain other amendments to improve the effectiveness of income tax disclosures. For public business entities, the amendments in this ASU are effective for annual periods beginning after December 15, 2024. The Company adopted this new guidance on a prospective basis as of January 1, 2025. The adoption resulted in incremental disclosures, see Note 14.</w:t>
      </w:r>
    </w:p>
    <w:p>
      <w:pPr>
        <w:spacing w:after="0" w:line="18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w:t>
      </w:r>
      <w:r>
        <w:rPr>
          <w:rFonts w:ascii="Times New Roman" w:cs="Times New Roman" w:eastAsia="Times New Roman" w:hAnsi="Times New Roman"/>
          <w:sz w:val="18"/>
          <w:szCs w:val="18"/>
          <w:color w:val="auto"/>
        </w:rPr>
        <w:t>: Disaggregation of Income Statement Expenses. This update requires that at each interim and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period public entities disclose (1) the amounts of purchases of inventory, employee compensation, depreciation, amortization, and depletion) in commonly presented expense captions; (2) certain amounts that are already required to be disclosed under current GAAP in the same disclosure as the other disaggregation requirements; (3) a qualitative description of the amounts remaining in relevant expense captions that are not separately disaggregated quantitatively; and (4) the total amount of selling expenses and, in annual reporting periods, the definition of selling expenses. In January 2025, the FASB issued ASU 2024-03, Income Statement - Reporting Comprehensive Income - Expense Disaggregation Disclosures (Subtopic 220-40): Clarifying the Effective Date. This update clarifies that ASU 2024-03 is effective for annual reporting periods beginning after December 15, 2026, and interim periods within annual reporting periods beginning after December 15, 2027. Early adoption is permitted. The Company is currently evaluating the impact on its financial statements of adopting this guidance.</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Measurement of Credit Losses for Accounts Receivable and Contract Assets</w:t>
      </w:r>
      <w:r>
        <w:rPr>
          <w:rFonts w:ascii="Times New Roman" w:cs="Times New Roman" w:eastAsia="Times New Roman" w:hAnsi="Times New Roman"/>
          <w:sz w:val="18"/>
          <w:szCs w:val="18"/>
          <w:color w:val="auto"/>
        </w:rPr>
        <w:t xml:space="preserve">. The ASU relates to estimating credit losses under CECL for current accounts receivable and current contract assets arising from revenue transactions accounted for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ASU does not apply to other types of accounts receivable and loans. The ASU provides a practical expedient to assume that current conditions as of the balance sheet date will persist through the reasonable and supportable forecast period for eligible assets. ASU 2025-05 is effective for fiscal years beginning after December 15, 2025. Early adoption is permitted. The Company adopted ASU 2025-05 for the year beginning January 1, 2026 and there was no material impact to the consolidated financial statements.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2025-10, </w:t>
      </w:r>
      <w:r>
        <w:rPr>
          <w:rFonts w:ascii="Times New Roman" w:cs="Times New Roman" w:eastAsia="Times New Roman" w:hAnsi="Times New Roman"/>
          <w:sz w:val="18"/>
          <w:szCs w:val="18"/>
          <w:i w:val="1"/>
          <w:iCs w:val="1"/>
          <w:color w:val="auto"/>
        </w:rPr>
        <w:t>Accounting for Government Grants Received by Business Entities</w:t>
      </w:r>
      <w:r>
        <w:rPr>
          <w:rFonts w:ascii="Times New Roman" w:cs="Times New Roman" w:eastAsia="Times New Roman" w:hAnsi="Times New Roman"/>
          <w:sz w:val="18"/>
          <w:szCs w:val="18"/>
          <w:color w:val="auto"/>
        </w:rPr>
        <w:t xml:space="preserve">, to establish guidance on the recognition, measurement, and presentation of government grants received by business entities. The new guidance leverages the principles in the accounting framework for government assistance in IAS 20, </w:t>
      </w:r>
      <w:r>
        <w:rPr>
          <w:rFonts w:ascii="Times New Roman" w:cs="Times New Roman" w:eastAsia="Times New Roman" w:hAnsi="Times New Roman"/>
          <w:sz w:val="18"/>
          <w:szCs w:val="18"/>
          <w:i w:val="1"/>
          <w:iCs w:val="1"/>
          <w:color w:val="auto"/>
        </w:rPr>
        <w:t>Accounting for Government Grants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 of Government Assistance</w:t>
      </w:r>
      <w:r>
        <w:rPr>
          <w:rFonts w:ascii="Times New Roman" w:cs="Times New Roman" w:eastAsia="Times New Roman" w:hAnsi="Times New Roman"/>
          <w:sz w:val="18"/>
          <w:szCs w:val="18"/>
          <w:color w:val="auto"/>
        </w:rPr>
        <w:t>; makes certain targeted improvements; and modifies certain of the existing disclosure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ASC Topic 832, </w:t>
      </w:r>
      <w:r>
        <w:rPr>
          <w:rFonts w:ascii="Times New Roman" w:cs="Times New Roman" w:eastAsia="Times New Roman" w:hAnsi="Times New Roman"/>
          <w:sz w:val="18"/>
          <w:szCs w:val="18"/>
          <w:i w:val="1"/>
          <w:iCs w:val="1"/>
          <w:color w:val="auto"/>
        </w:rPr>
        <w:t>Government Assistance</w:t>
      </w:r>
      <w:r>
        <w:rPr>
          <w:rFonts w:ascii="Times New Roman" w:cs="Times New Roman" w:eastAsia="Times New Roman" w:hAnsi="Times New Roman"/>
          <w:sz w:val="18"/>
          <w:szCs w:val="18"/>
          <w:color w:val="auto"/>
        </w:rPr>
        <w:t>. The new guidance is effective for public business entities in annual periods beginning after December 15, 2028 (including interim periods within), with early adoption permitted in any period for which financial statements have not yet been issued. The Company is currently evaluating the impact of the new guidance on its consolidated financial statements and related disclosure.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 NET</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00" w:type="dxa"/>
            <w:vAlign w:val="bottom"/>
            <w:vMerge w:val="restart"/>
          </w:tcPr>
          <w:p>
            <w:pPr>
              <w:ind w:left="7360"/>
              <w:spacing w:after="0"/>
              <w:rPr>
                <w:sz w:val="20"/>
                <w:szCs w:val="20"/>
                <w:color w:val="auto"/>
              </w:rPr>
            </w:pPr>
            <w:r>
              <w:rPr>
                <w:rFonts w:ascii="Times New Roman" w:cs="Times New Roman" w:eastAsia="Times New Roman" w:hAnsi="Times New Roman"/>
                <w:sz w:val="14"/>
                <w:szCs w:val="14"/>
                <w:b w:val="1"/>
                <w:bCs w:val="1"/>
                <w:color w:val="auto"/>
              </w:rPr>
              <w:t>​​​</w:t>
            </w:r>
          </w:p>
        </w:tc>
        <w:tc>
          <w:tcPr>
            <w:tcW w:w="24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vMerge w:val="continue"/>
          </w:tcPr>
          <w:p>
            <w:pPr>
              <w:spacing w:after="0"/>
              <w:rPr>
                <w:sz w:val="12"/>
                <w:szCs w:val="12"/>
                <w:color w:val="auto"/>
              </w:rPr>
            </w:pPr>
          </w:p>
        </w:tc>
        <w:tc>
          <w:tcPr>
            <w:tcW w:w="108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08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308,556,264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208,368,929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(176,634,845)</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(170,996,885)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131,921,419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37,372,044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vMerge w:val="restart"/>
          </w:tcPr>
          <w:p>
            <w:pPr>
              <w:ind w:left="4780"/>
              <w:spacing w:after="0"/>
              <w:rPr>
                <w:sz w:val="20"/>
                <w:szCs w:val="20"/>
                <w:color w:val="auto"/>
              </w:rPr>
            </w:pPr>
            <w:r>
              <w:rPr>
                <w:rFonts w:ascii="Times New Roman" w:cs="Times New Roman" w:eastAsia="Times New Roman" w:hAnsi="Times New Roman"/>
                <w:sz w:val="18"/>
                <w:szCs w:val="18"/>
                <w:color w:val="auto"/>
              </w:rPr>
              <w:t>F-25</w:t>
            </w: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75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movement of the allowance for doubtful accounts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gridSpan w:val="2"/>
          </w:tcPr>
          <w:p>
            <w:pPr>
              <w:ind w:left="64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2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ind w:left="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the beginning of the year</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29,593,693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169,038,710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176,634,845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139,445,017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19,840,922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(12,244,787)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the end of the year</w:t>
            </w:r>
          </w:p>
        </w:tc>
        <w:tc>
          <w:tcPr>
            <w:tcW w:w="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169,038,710</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176,634,845</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170,996,885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4. INVENTORIES</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6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8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0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tcPr>
          <w:p>
            <w:pPr>
              <w:jc w:val="center"/>
              <w:ind w:right="1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17"/>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471,547,560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475,807,376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9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177,630,159</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176,772,275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9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649,177,719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652,579,651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Write-downs of inventories from the carrying amount to their estimated net realizable value, were recognized in cost of revenues amounting to RMB21,681,652, RMB30,028,243 and RMB89,204,469 for the years ended December 31, 2023, 2024 and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PREPAYMENTS AND OTHER CURRENT ASSETS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Prepayments and other current assets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20" w:type="dxa"/>
            <w:vAlign w:val="bottom"/>
            <w:vMerge w:val="restart"/>
          </w:tcPr>
          <w:p>
            <w:pPr>
              <w:ind w:left="7360"/>
              <w:spacing w:after="0"/>
              <w:rPr>
                <w:sz w:val="20"/>
                <w:szCs w:val="20"/>
                <w:color w:val="auto"/>
              </w:rPr>
            </w:pPr>
            <w:r>
              <w:rPr>
                <w:rFonts w:ascii="Times New Roman" w:cs="Times New Roman" w:eastAsia="Times New Roman" w:hAnsi="Times New Roman"/>
                <w:sz w:val="14"/>
                <w:szCs w:val="14"/>
                <w:b w:val="1"/>
                <w:bCs w:val="1"/>
                <w:color w:val="auto"/>
              </w:rPr>
              <w:t>​​​</w:t>
            </w:r>
          </w:p>
        </w:tc>
        <w:tc>
          <w:tcPr>
            <w:tcW w:w="2380" w:type="dxa"/>
            <w:vAlign w:val="bottom"/>
            <w:tcBorders>
              <w:bottom w:val="single" w:sz="8" w:color="auto"/>
            </w:tcBorders>
            <w:gridSpan w:val="3"/>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vMerge w:val="continue"/>
          </w:tcPr>
          <w:p>
            <w:pPr>
              <w:spacing w:after="0"/>
              <w:rPr>
                <w:sz w:val="12"/>
                <w:szCs w:val="12"/>
                <w:color w:val="auto"/>
              </w:rPr>
            </w:pPr>
          </w:p>
        </w:tc>
        <w:tc>
          <w:tcPr>
            <w:tcW w:w="106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06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2"/>
                <w:szCs w:val="12"/>
                <w:color w:val="auto"/>
              </w:rPr>
            </w:pPr>
          </w:p>
        </w:tc>
        <w:tc>
          <w:tcPr>
            <w:tcW w:w="108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Deductible input VAT and VAT refunds receivable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180,529,266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221,121,149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Prepayments to suppliers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34,798,844</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61,597,780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charge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24,910,815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22,200,487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online platforms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12,035,147</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19,827,258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10,503,125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12,725,205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5,161,142</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6,064,693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Prepayments and other current assets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267,938,339</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343,536,572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vMerge w:val="restart"/>
          </w:tcPr>
          <w:p>
            <w:pPr>
              <w:ind w:left="4780"/>
              <w:spacing w:after="0"/>
              <w:rPr>
                <w:sz w:val="20"/>
                <w:szCs w:val="20"/>
                <w:color w:val="auto"/>
              </w:rPr>
            </w:pPr>
            <w:r>
              <w:rPr>
                <w:rFonts w:ascii="Times New Roman" w:cs="Times New Roman" w:eastAsia="Times New Roman" w:hAnsi="Times New Roman"/>
                <w:sz w:val="18"/>
                <w:szCs w:val="18"/>
                <w:color w:val="auto"/>
              </w:rPr>
              <w:t>F-26</w:t>
            </w: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75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 NET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00" w:type="dxa"/>
            <w:vAlign w:val="bottom"/>
            <w:vMerge w:val="restart"/>
          </w:tcPr>
          <w:p>
            <w:pPr>
              <w:ind w:left="7360"/>
              <w:spacing w:after="0"/>
              <w:rPr>
                <w:sz w:val="20"/>
                <w:szCs w:val="20"/>
                <w:color w:val="auto"/>
              </w:rPr>
            </w:pPr>
            <w:r>
              <w:rPr>
                <w:rFonts w:ascii="Times New Roman" w:cs="Times New Roman" w:eastAsia="Times New Roman" w:hAnsi="Times New Roman"/>
                <w:sz w:val="14"/>
                <w:szCs w:val="14"/>
                <w:b w:val="1"/>
                <w:bCs w:val="1"/>
                <w:color w:val="auto"/>
              </w:rPr>
              <w:t>​​​</w:t>
            </w:r>
          </w:p>
        </w:tc>
        <w:tc>
          <w:tcPr>
            <w:tcW w:w="24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vMerge w:val="continue"/>
          </w:tcPr>
          <w:p>
            <w:pPr>
              <w:spacing w:after="0"/>
              <w:rPr>
                <w:sz w:val="12"/>
                <w:szCs w:val="12"/>
                <w:color w:val="auto"/>
              </w:rPr>
            </w:pPr>
          </w:p>
        </w:tc>
        <w:tc>
          <w:tcPr>
            <w:tcW w:w="108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08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399,918,776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516,646,489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232,110,473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274,038,907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152,378,097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154,577,570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Office and electronic equipment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34,892,580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34,408,262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10,878,525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11,524,486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3,775,545</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833,953,996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995,647,251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(513,940,364)</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(575,474,216)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320,013,632</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420,173,035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on property, plant and equipment was allocated to the following expense items:</w:t>
      </w:r>
    </w:p>
    <w:p>
      <w:pPr>
        <w:spacing w:after="0" w:line="232"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960" w:type="dxa"/>
            <w:vAlign w:val="bottom"/>
            <w:tcBorders>
              <w:top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right w:val="single" w:sz="8" w:color="auto"/>
            </w:tcBorders>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ind w:left="64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92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26,811,275</w:t>
            </w:r>
          </w:p>
        </w:tc>
        <w:tc>
          <w:tcPr>
            <w:tcW w:w="2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32,342,412</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38,373,759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107,996,726</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78,589,848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3,641,514</w:t>
            </w:r>
          </w:p>
        </w:tc>
        <w:tc>
          <w:tcPr>
            <w:tcW w:w="2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3,847,241</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9,057,825</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7,101,034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5,871,696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Borders>
              <w:top w:val="single" w:sz="8" w:color="CCEEFF"/>
              <w:right w:val="single" w:sz="8" w:color="CCEEFF"/>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depreciation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147,507,340</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121,880,535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110,693,354</w:t>
            </w:r>
          </w:p>
        </w:tc>
        <w:tc>
          <w:tcPr>
            <w:tcW w:w="0" w:type="dxa"/>
            <w:vAlign w:val="bottom"/>
          </w:tcPr>
          <w:p>
            <w:pPr>
              <w:spacing w:after="0"/>
              <w:rPr>
                <w:sz w:val="1"/>
                <w:szCs w:val="1"/>
                <w:color w:val="auto"/>
              </w:rPr>
            </w:pPr>
          </w:p>
        </w:tc>
      </w:tr>
      <w:tr>
        <w:trPr>
          <w:trHeight w:val="20"/>
        </w:trPr>
        <w:tc>
          <w:tcPr>
            <w:tcW w:w="660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OTHER NON-CURRENT ASSETS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non-current assets consisted of the following:</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ind w:right="11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2"/>
                <w:szCs w:val="12"/>
                <w:color w:val="auto"/>
              </w:rPr>
            </w:pPr>
          </w:p>
        </w:tc>
        <w:tc>
          <w:tcPr>
            <w:tcW w:w="2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9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6,531,928</w:t>
            </w:r>
          </w:p>
        </w:tc>
        <w:tc>
          <w:tcPr>
            <w:tcW w:w="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16,935,994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Prepayment for property, plant and equipment</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8,683,050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8,423,185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 for insurance</w:t>
            </w:r>
          </w:p>
        </w:tc>
        <w:tc>
          <w:tcPr>
            <w:tcW w:w="9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bottom w:val="single" w:sz="8" w:color="auto"/>
              <w:right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4,103,681</w:t>
            </w:r>
          </w:p>
        </w:tc>
        <w:tc>
          <w:tcPr>
            <w:tcW w:w="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tcBorders>
              <w:bottom w:val="single" w:sz="8" w:color="auto"/>
              <w:right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10,628,935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960" w:type="dxa"/>
            <w:vAlign w:val="bottom"/>
            <w:tcBorders>
              <w:bottom w:val="single" w:sz="8" w:color="CCEEFF"/>
              <w:right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19,318,659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left w:val="single" w:sz="8" w:color="CCEEFF"/>
              <w:bottom w:val="single" w:sz="8" w:color="CCEEFF"/>
            </w:tcBorders>
            <w:shd w:val="clear" w:color="auto" w:fill="CCEEFF"/>
          </w:tcPr>
          <w:p>
            <w:pPr>
              <w:spacing w:after="0"/>
              <w:rPr>
                <w:sz w:val="18"/>
                <w:szCs w:val="18"/>
                <w:color w:val="auto"/>
              </w:rPr>
            </w:pPr>
          </w:p>
        </w:tc>
        <w:tc>
          <w:tcPr>
            <w:tcW w:w="100" w:type="dxa"/>
            <w:vAlign w:val="bottom"/>
            <w:tcBorders>
              <w:bottom w:val="single" w:sz="8" w:color="auto"/>
              <w:right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35,988,114</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SHORT-TERM BANK BORROWINGS</w:t>
            </w:r>
          </w:p>
        </w:tc>
        <w:tc>
          <w:tcPr>
            <w:tcW w:w="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0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1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2"/>
                <w:szCs w:val="12"/>
                <w:color w:val="auto"/>
              </w:rPr>
            </w:pPr>
          </w:p>
        </w:tc>
        <w:tc>
          <w:tcPr>
            <w:tcW w:w="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borrowing</w:t>
            </w:r>
          </w:p>
        </w:tc>
        <w:tc>
          <w:tcPr>
            <w:tcW w:w="960" w:type="dxa"/>
            <w:vAlign w:val="bottom"/>
            <w:tcBorders>
              <w:righ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200,000,000</w:t>
            </w:r>
          </w:p>
        </w:tc>
        <w:tc>
          <w:tcPr>
            <w:tcW w:w="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Unsecured borrowing</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Borders>
              <w:top w:val="single" w:sz="8" w:color="CCEEFF"/>
              <w:right w:val="single" w:sz="8" w:color="CCEEFF"/>
            </w:tcBorders>
            <w:shd w:val="clear" w:color="auto" w:fill="CCEEFF"/>
          </w:tcPr>
          <w:p>
            <w:pPr>
              <w:spacing w:after="0"/>
              <w:rPr>
                <w:sz w:val="18"/>
                <w:szCs w:val="18"/>
                <w:color w:val="auto"/>
              </w:rPr>
            </w:pPr>
          </w:p>
        </w:tc>
        <w:tc>
          <w:tcPr>
            <w:tcW w:w="96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Short-term bank borrowings</w:t>
            </w:r>
          </w:p>
        </w:tc>
        <w:tc>
          <w:tcPr>
            <w:tcW w:w="960" w:type="dxa"/>
            <w:vAlign w:val="bottom"/>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200,000,000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240,000,000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vMerge w:val="restart"/>
          </w:tcPr>
          <w:p>
            <w:pPr>
              <w:ind w:left="4780"/>
              <w:spacing w:after="0"/>
              <w:rPr>
                <w:sz w:val="20"/>
                <w:szCs w:val="20"/>
                <w:color w:val="auto"/>
              </w:rPr>
            </w:pPr>
            <w:r>
              <w:rPr>
                <w:rFonts w:ascii="Times New Roman" w:cs="Times New Roman" w:eastAsia="Times New Roman" w:hAnsi="Times New Roman"/>
                <w:sz w:val="18"/>
                <w:szCs w:val="18"/>
                <w:color w:val="auto"/>
              </w:rPr>
              <w:t>F-27</w:t>
            </w:r>
          </w:p>
        </w:tc>
        <w:tc>
          <w:tcPr>
            <w:tcW w:w="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65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March 2023, the Group entered into a twelve-month secured loan facility agreement with a commercial bank in mainland China, pursuant to which the Group was entitled to utilize the facility for secured bank loans up to RMB160,000,000. The Group drew down RMB41,380,805 and RMB58,619,195 in June and August 2023, respectively, at 3.2% per annum, and repaid RMB100,000,000 in June 2024. In March and June 2024, the Group entered into two additional twelve - month secured loan facility agreements with the same bank, which were extended to mature in March and June 2026, respectively. Pursuant to each of the agreements, the Group was entitled to borrow up to RMB100,000,000 (RMB200,000,000 in aggregate). The Group drew down RMB100,000,000 under each facility (RMB200,000,000 in aggregate) at 3.0% per annum in 2024, and fully repaid in March and June 2025, respectively. The Group further drew down RMB100,000,000 in March 2025 at 2.6% per annum, and drew down RMB100,000,000 in June 2025 at 2.5% per annum. As of December 31, 2025, total outstanding borrowings under these loan facility agreements were RMB200,000,000, secured by a U.S. dollar deposit equivalent to RMB210,864,000 placed with the bank.</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March 2025, the Group entered into a twelve-month revolving loan facility agreement with a commercial bank in mainland China, pursuant to which the Group was entitled to utilize the facility for short-term bank loans up to RMB20,000,000. The Group drew down RMB20,000,000 in March 2025 at 2.6% per annum. As of December 31, 2025, total outstanding borrowings under this loan facility agreement were RMB20,000,000.</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2025, the Group entered into two twelve-month revolving loan facility agreements with a commercial bank in mainland China, pursuant to each of which the Group was entitled to utilize the facilities for short-term bank loans and bank acceptance notes up to RMB100,000,000 (RMB200,000,000 in aggregate). The Group drew down RMB20,000,000 in December 2025 at 2.3% per annum. As of December 31, 2025, total outstanding borrowings under these loan facility agreements were RMB20,000,000.</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and 2025, the outstanding short-term bank borrowings bore weighted average interest rates of 3.0% and 2.5% per annum, respectively, and were denominated in RMB.</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NOTES PAYABLE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April 2022, the Group entered into a twelve-month revolving loan facility agreement with a commercial bank in mainland China, which was extended to mature in May 2026. Pursuant to this agreement, the Group was entitled to utilize the facility for short-term bank loans and bank acceptance notes up to RMB300,000,000. As of December 31, 2024 and 2025, this facility was utilized for bank acceptance notes, with an outstanding balance of RMB 144,348,768 and RMB184,285,714, respectively.</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January 2024, the Group entered into a six-month revolving loan facility agreement with a commercial bank in mainland China, which was extended to mature in January 2025. Pursuant to this agreement, the Group was entitled to utilize the facility for bank acceptance notes up to RMB50,000,000. In March 2025, the Group further entered into a six-month revolving loan facility agreement, under which the Group was entitled to utilize the facility for bank acceptance notes up to RMB60,000,000. In October 2025, this facility was extended to mature in April 2026, with the cap increased to RMB100,000,000. As of December 31, 2024 and 2025, total outstanding notes payable under this facility agreement were RMB50,000,000 and RMB100,000,000, respectively.</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October and November 2024, the Group entered into two twelve-month revolving loan facility agreements with a commercial bank in mainland China, pursuant to each of which the Group was entitled to utilize the facility for short-term bank loans and bank acceptance notes up to RMB50,000,000 (RMB100,000,000 in aggregate). In December 2025, the facilities were extended to mature in December 2026, with the cap for each facility increased to RMB100,000,000 (RMB200,000,000 in aggregate). As of December 31, 2024 and 2025, the outstanding notes payable under these facility agreements were RMB100,000,000 and RMB80,000,000, respectively.</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June 2025, the Group entered into a twelve-month revolving loan facility agreement with a commercial bank in mainland China, which was extended to mature in June 2026. Pursuant to this agreement, the Group was entitled to utilize the facility for bank acceptance notes up to RMB30,000,000. As of December 31, 2025, the facility was utilized for bank acceptance notes, with an outstanding balance of RMB30,000,000.</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and 2025, notes payable represent non-interest-bearing bank acceptance notes issued by the Group to suppliers that are due within twelve months.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ACCRUED EXPENSES AND OTHER CURRENT LIABILITIES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5060" w:type="dxa"/>
            <w:vAlign w:val="bottom"/>
            <w:vMerge w:val="restart"/>
          </w:tcPr>
          <w:p>
            <w:pPr>
              <w:ind w:left="4900"/>
              <w:spacing w:after="0"/>
              <w:rPr>
                <w:sz w:val="20"/>
                <w:szCs w:val="20"/>
                <w:color w:val="auto"/>
              </w:rPr>
            </w:pPr>
            <w:r>
              <w:rPr>
                <w:rFonts w:ascii="Times New Roman" w:cs="Times New Roman" w:eastAsia="Times New Roman" w:hAnsi="Times New Roman"/>
                <w:sz w:val="14"/>
                <w:szCs w:val="14"/>
                <w:b w:val="1"/>
                <w:bCs w:val="1"/>
                <w:color w:val="auto"/>
              </w:rPr>
              <w:t>​​​</w:t>
            </w:r>
          </w:p>
        </w:tc>
        <w:tc>
          <w:tcPr>
            <w:tcW w:w="2380" w:type="dxa"/>
            <w:vAlign w:val="bottom"/>
            <w:tcBorders>
              <w:bottom w:val="single" w:sz="8" w:color="auto"/>
            </w:tcBorders>
            <w:gridSpan w:val="3"/>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060" w:type="dxa"/>
            <w:vAlign w:val="bottom"/>
            <w:vMerge w:val="continue"/>
          </w:tcPr>
          <w:p>
            <w:pPr>
              <w:spacing w:after="0"/>
              <w:rPr>
                <w:sz w:val="12"/>
                <w:szCs w:val="12"/>
                <w:color w:val="auto"/>
              </w:rPr>
            </w:pPr>
          </w:p>
        </w:tc>
        <w:tc>
          <w:tcPr>
            <w:tcW w:w="106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060" w:type="dxa"/>
            <w:vAlign w:val="bottom"/>
          </w:tcPr>
          <w:p>
            <w:pPr>
              <w:ind w:left="49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Refundable deposits from franchised stores—current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51,690,234</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100,288,691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payable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20,327,073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55,417,029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rebate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6,135,710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51,155,685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payroll and social insurance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26,300,779</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37,566,931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warehouse rental</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8,593,422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31,739,789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selling and marketing expenses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23,150,372</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31,658,518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Warranty—current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19,746,554</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25,878,752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taxes payable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9,065,664</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24,900,193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liabilities—current (Note 17)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1,253,020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35,093,180</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43,020,424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201,356,008</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404,813,611</w:t>
            </w:r>
          </w:p>
        </w:tc>
        <w:tc>
          <w:tcPr>
            <w:tcW w:w="0" w:type="dxa"/>
            <w:vAlign w:val="bottom"/>
          </w:tcPr>
          <w:p>
            <w:pPr>
              <w:spacing w:after="0"/>
              <w:rPr>
                <w:sz w:val="1"/>
                <w:szCs w:val="1"/>
                <w:color w:val="auto"/>
              </w:rPr>
            </w:pPr>
          </w:p>
        </w:tc>
      </w:tr>
      <w:tr>
        <w:trPr>
          <w:trHeight w:val="20"/>
        </w:trPr>
        <w:tc>
          <w:tcPr>
            <w:tcW w:w="2480" w:type="dxa"/>
            <w:vAlign w:val="bottom"/>
            <w:gridSpan w:val="2"/>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5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Others mainly include accrued professional fees and other general corporate expenses.</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Group provides limited warranties to its end customers for terms varying from 3 months to a lifetime, subject to certain conditions, such as normal use. For certain key components of electric scooter, the Group mainly provides quality warranties varying from 12 months to a lifetime. For battery packs, warranties generally range from 12 months to 60 months or 10,000 to 40,000-kilometer warranty, depending on the models. For the other components of the electric scooters, the Group provides quality warranties varying from 3 months to 36 months depending on the parts. The Group is responsible for replacing or repairing the faulty products during their respective warranty terms.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movement of provision for warranty was as follows:</w:t>
      </w:r>
    </w:p>
    <w:p>
      <w:pPr>
        <w:spacing w:after="0" w:line="232"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668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6680" w:type="dxa"/>
            <w:vAlign w:val="bottom"/>
          </w:tcPr>
          <w:p>
            <w:pPr>
              <w:ind w:left="6580"/>
              <w:spacing w:after="0" w:line="12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74"/>
              <w:spacing w:after="0" w:line="12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0"/>
                <w:szCs w:val="10"/>
                <w:color w:val="auto"/>
              </w:rPr>
            </w:pPr>
          </w:p>
        </w:tc>
        <w:tc>
          <w:tcPr>
            <w:tcW w:w="16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37"/>
              <w:spacing w:after="0" w:line="12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ind w:left="300"/>
              <w:spacing w:after="0" w:line="12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8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33,812,290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25,325,839</w:t>
            </w: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29,293,848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provisions recognized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21,565,131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27,645,757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45,999,122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claims paid</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(30,051,582)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(23,677,748)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(36,618,707)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the end of the year</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25,325,839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29,293,848</w:t>
            </w: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38,674,263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11. OTHER NON-CURRENT LIABILITIES</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non-current liabilities consisted of the following:</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210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Warranty—non-current</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9,547,294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12,795,511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Refundable deposits from franchised stores—non-current</w:t>
            </w:r>
          </w:p>
        </w:tc>
        <w:tc>
          <w:tcPr>
            <w:tcW w:w="9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150,547</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9,697,841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12,941,916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vMerge w:val="restart"/>
          </w:tcPr>
          <w:p>
            <w:pPr>
              <w:ind w:left="4780"/>
              <w:spacing w:after="0"/>
              <w:rPr>
                <w:sz w:val="20"/>
                <w:szCs w:val="20"/>
                <w:color w:val="auto"/>
              </w:rPr>
            </w:pPr>
            <w:r>
              <w:rPr>
                <w:rFonts w:ascii="Times New Roman" w:cs="Times New Roman" w:eastAsia="Times New Roman" w:hAnsi="Times New Roman"/>
                <w:sz w:val="18"/>
                <w:szCs w:val="18"/>
                <w:color w:val="auto"/>
              </w:rPr>
              <w:t>F-29</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66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ORDINARY SHARE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authorized share capital is US$500,000 divided into 5,000,000,000 shares comprising of (i) 4,900,000,000 Class A ordinary shares with a par value of US$0.0001 each, (ii) 50,000,000 Class B ordinary shares with a par value of US$0.0001 each and (iii) 50,000,000 shares with a par value of US$0.0001 each of such class or classes (however designated) as the Board of Directors may determine in accordance with the Company’s Memorandum and Articles of Association.</w:t>
      </w:r>
    </w:p>
    <w:p>
      <w:pPr>
        <w:spacing w:after="0" w:line="15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Holders of Class A ordinary shares and Class B ordinary shares have the same rights except for voting and conversion rights. Each Class A ordinary share entitles the holder to one vote on all matters subject to vote at general meetings of the Company, and each Class B ordinary share entitles the holder to four votes on all matters subject to vote at general meetings of the Company. Class A ordinary shares are not convertible into Class B ordinary shares under any circumstances.</w:t>
      </w:r>
    </w:p>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and 2025, the outstanding Class A ordinary shares were 139,303,366 and 141,231,394, and the outstanding Class B ordinary shares were 16,542,020 and 15,222,020,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SHARE-BASED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options and restricted share units</w:t>
      </w:r>
    </w:p>
    <w:p>
      <w:pPr>
        <w:spacing w:after="0" w:line="202" w:lineRule="exact"/>
        <w:rPr>
          <w:sz w:val="20"/>
          <w:szCs w:val="20"/>
          <w:color w:val="auto"/>
        </w:rPr>
      </w:pPr>
    </w:p>
    <w:p>
      <w:pPr>
        <w:ind w:left="680" w:hanging="321"/>
        <w:spacing w:after="0"/>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2016 Global Share Incentive Plan</w:t>
      </w:r>
    </w:p>
    <w:p>
      <w:pPr>
        <w:spacing w:after="0" w:line="18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January 2016, the Company’s Shareholders and Board of Directors approved 2016 Global Share Incentive Plan and amended it in March 2018 (the “Amended 2016 Plan”). Under the Amended 2016 Plan, a maximum aggregate number of 5,861,480 ordinary shares may be issued pursuant to all awards granted. Share options expire 10 years from the grant date.</w:t>
      </w:r>
    </w:p>
    <w:p>
      <w:pPr>
        <w:spacing w:after="0" w:line="135" w:lineRule="exact"/>
        <w:rPr>
          <w:sz w:val="20"/>
          <w:szCs w:val="20"/>
          <w:color w:val="auto"/>
        </w:rPr>
      </w:pPr>
    </w:p>
    <w:p>
      <w:pPr>
        <w:ind w:left="680" w:hanging="321"/>
        <w:spacing w:after="0"/>
        <w:tabs>
          <w:tab w:leader="none" w:pos="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2018 Share Incentive Plan</w:t>
      </w:r>
    </w:p>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September 2018, the Company’s Shareholders and Board of Directors approved the 2018 Share Incentive Plan (the “2018 Plan”). Under the 2018 Plan, the maximum aggregate number of ordinary shares available for issuance is 6,733,703 ordinary shares, which shall be increased by a number equal to 1.5% of the total number of ordinary shares issued and outstanding on the last day of the immediately preceding fiscal year, each fiscal year during the term of the 2018 Plan, if determined and approved by the Board of Directors for the relevant fiscal year. The Board of Directors has approved annual increases of 2,313,923, 2,326,755 and 2,337,681 ordinary shares for the years ended December 31, 2023, 2024 and 2025, representing 1.5% of total issued and outstanding shares as of December 31, 2022, 2023 and 2024, respectively, pursuant to the 2018 Share Incentive Plan.</w:t>
      </w:r>
    </w:p>
    <w:p>
      <w:pPr>
        <w:spacing w:after="0" w:line="14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share options had been granted for the years ended December 31, 2023, 2024 and 2025. All the outstanding share options had been fully vested and no unrecognized compensation expense related to share options as of December 31, 2023.</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summary of the share options activities under the Amended 2016 Plan and the 2018 Plan for the year ended December 31, 2025 was presented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gridSpan w:val="2"/>
          </w:tcPr>
          <w:p>
            <w:pPr>
              <w:ind w:left="584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spacing w:after="0"/>
              <w:rPr>
                <w:sz w:val="14"/>
                <w:szCs w:val="14"/>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000" w:type="dxa"/>
            <w:vAlign w:val="bottom"/>
            <w:gridSpan w:val="2"/>
            <w:vMerge w:val="restart"/>
          </w:tcPr>
          <w:p>
            <w:pPr>
              <w:ind w:left="58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vMerge w:val="continue"/>
          </w:tcPr>
          <w:p>
            <w:pPr>
              <w:spacing w:after="0"/>
              <w:rPr>
                <w:sz w:val="12"/>
                <w:szCs w:val="12"/>
                <w:color w:val="auto"/>
              </w:rPr>
            </w:pP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6000" w:type="dxa"/>
            <w:vAlign w:val="bottom"/>
            <w:gridSpan w:val="2"/>
            <w:vMerge w:val="continue"/>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gridSpan w:val="2"/>
            <w:vMerge w:val="continue"/>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gridSpan w:val="2"/>
            <w:vMerge w:val="continue"/>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value</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3,753,328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792,578</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Exercised</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(115,220)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3,637,968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1,347,928</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Exercisable as of December 31, 2025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3,637,968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1,347,928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total intrinsic value of share options exercised for the years ended December 31, 2023, 2024 and 2025, were RMB4,799,425,RMB994,926 and RMB1,396,873, respectively. The total fair value of share options vested for the years ended December 31, 2023 was RMB11,027,023.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Compensation expenses recognized for share options for the years ended December 31, 2023 was allocated to the following expense items: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center"/>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3,047,542</w:t>
            </w:r>
          </w:p>
        </w:tc>
        <w:tc>
          <w:tcPr>
            <w:tcW w:w="0" w:type="dxa"/>
            <w:vAlign w:val="bottom"/>
          </w:tcPr>
          <w:p>
            <w:pPr>
              <w:spacing w:after="0"/>
              <w:rPr>
                <w:sz w:val="1"/>
                <w:szCs w:val="1"/>
                <w:color w:val="auto"/>
              </w:rPr>
            </w:pPr>
          </w:p>
        </w:tc>
      </w:tr>
      <w:tr>
        <w:trPr>
          <w:trHeight w:val="21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share options compensation expenses</w:t>
            </w:r>
          </w:p>
        </w:tc>
        <w:tc>
          <w:tcPr>
            <w:tcW w:w="2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6,144,548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64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color w:val="auto"/>
              </w:rPr>
              <w:t>A summary of the restricted share units activities for the year ended December 31, 2025 was presented below:</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300" w:type="dxa"/>
            <w:vAlign w:val="bottom"/>
            <w:gridSpan w:val="4"/>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1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12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January 1, 2025</w:t>
            </w:r>
          </w:p>
        </w:tc>
        <w:tc>
          <w:tcPr>
            <w:tcW w:w="3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2,753,342</w:t>
            </w:r>
          </w:p>
        </w:tc>
        <w:tc>
          <w:tcPr>
            <w:tcW w:w="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3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6,339,600</w:t>
            </w:r>
          </w:p>
        </w:tc>
        <w:tc>
          <w:tcPr>
            <w:tcW w:w="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3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(1,023,514)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3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(398,900)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Unvested as of December 31, 2025</w:t>
            </w:r>
          </w:p>
        </w:tc>
        <w:tc>
          <w:tcPr>
            <w:tcW w:w="3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7,670,528</w:t>
            </w:r>
          </w:p>
        </w:tc>
        <w:tc>
          <w:tcPr>
            <w:tcW w:w="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restricted share units are generally scheduled to be vested over four equal annual installments, except for 320,000 restricted share units granted in 2024 with vesting in two equal annual installments under 2018 Plan. The total fair value of restricted share units vested during the years ended December 31, 2023, 2024 and 2025 was RMB47,144,928, RMB33,121,118 and RMB22,711,848, respectively.</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Compensation expenses recognized for restricted share units for the years ended December 31, 2023, 2024 and 2025 were allocated to the following expense items: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2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60" w:type="dxa"/>
            <w:vAlign w:val="bottom"/>
            <w:vMerge w:val="restart"/>
          </w:tcPr>
          <w:p>
            <w:pPr>
              <w:ind w:left="656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1,237,902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751,445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858,055</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9,085,924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7,110,420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5,396,473</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19,462,704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7,325,327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9,890,499</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11,728,226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9,045,786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11,586,370</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restricted share units compensation expenses</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41,514,756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24,232,978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27,731,397</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RMB39,331,351 of total unrecognized compensation expense related to restricted share units was expected to be recognized over a weighted average period of approximately 2.66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Total share-based compensation expenses recognized for the years ended December 31, 2023, 2024 and 2025 were allocated to the following expense items:</w:t>
      </w:r>
    </w:p>
    <w:p>
      <w:pPr>
        <w:spacing w:after="0" w:line="169"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jc w:val="center"/>
        <w:ind w:left="66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6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6660" w:type="dxa"/>
            <w:vAlign w:val="bottom"/>
          </w:tcPr>
          <w:p>
            <w:pPr>
              <w:ind w:left="65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1,237,902</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751,445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858,055</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9,991,688</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7,110,420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5,396,473</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21,653,946</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7,325,327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9,890,499</w:t>
            </w:r>
          </w:p>
        </w:tc>
      </w:tr>
      <w:tr>
        <w:trPr>
          <w:trHeight w:val="216"/>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14,775,768</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9,045,786</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11,586,370</w:t>
            </w:r>
          </w:p>
        </w:tc>
      </w:tr>
      <w:tr>
        <w:trPr>
          <w:trHeight w:val="209"/>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share-based compensation expense</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47,659,304</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24,232,978</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27,731,397</w:t>
            </w:r>
          </w:p>
        </w:tc>
      </w:tr>
      <w:tr>
        <w:trPr>
          <w:trHeight w:val="20"/>
        </w:trPr>
        <w:tc>
          <w:tcPr>
            <w:tcW w:w="6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w:t>
      </w:r>
    </w:p>
    <w:p>
      <w:pPr>
        <w:spacing w:after="0" w:line="18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a)</w:t>
        <w:tab/>
        <w:t>Income tax</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current laws of the Cayman Islands, the Company is not subject to tax on income or capital gain. Additionally, the Cayman Islands does not impose a withholding tax on payments of dividends to shareholders.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stamp duty is payable in respect of the issuance of the shares or on an instrument of transfer in respect of a share.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Hong Kong</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Hong Kong tax laws, the Company’s subsidiary in Hong Kong are subject to the Hong Kong profits tax rate at 16.5% and they are exempted from income tax on their foreign-derived income and there are no withholding taxes in Hong Kong on remittance of dividends. A two-tiered profits tax rates regime was introduced in 2018 where the first HK$2 million of assessable profits earned by a company will be taxed at half of the current tax rate (8.25%) whilst the remaining profits will continue to be taxed at 16.5%. There is an anti-fragmentation measure where each group will have to nominate only one company in the group to benefit from the progressive rates. The Company did not make any provisions for Hong Kong profit tax as there were no assessable profits derived from or earned in Hong Kong for any of the periods presented.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Mainland China</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subsidiaries in mainland China, the VIE and VIE’s subsidiaries are subject to the PRC Corporate Income Tax Law (“CIT Law”), and are generally subject to a statutory income tax rate of 25%. Under the CIT Law, preferential tax treatments will be granted to entities which conduct businesses in certain encouraged sectors and to entities otherwise classified as “High and New Technology Enterprises” (“HNTE”). Jiangsu Xiaoniu and Beijing Niudian were qualified as HNTEs, having obtained renewed HNTE qualifications in 2024 and 2025, respectively, and enjoy a preferential income tax rate of 15% for the fiscal years from 2024 to 2026 and 2025 to 2027, respectively. An entity could re-apply for the HNTE certificate when the prior certificate expires. The foregoing preferential income tax rates, however, are subject to periodic review and renewal by PRC authorities.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CIT Law define the location of the “de facto management body” as “the place where the exercising, in substance, of the overall management and control of the production and business operation, personnel, accounting, property, etc., of a non-PRC company is located.” Based on a review of surrounding facts and circumstances, the Group does not believe that it is likely that its operations outside the PRC should be considered a resident enterprise for PRC tax purposes.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loss before income taxes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3"/>
        </w:trPr>
        <w:tc>
          <w:tcPr>
            <w:tcW w:w="64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6520" w:type="dxa"/>
            <w:vAlign w:val="bottom"/>
            <w:gridSpan w:val="2"/>
          </w:tcPr>
          <w:p>
            <w:pPr>
              <w:ind w:left="64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1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r>
      <w:tr>
        <w:trPr>
          <w:trHeight w:val="142"/>
        </w:trPr>
        <w:tc>
          <w:tcPr>
            <w:tcW w:w="64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(270,748,715)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(202,919,043)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(34,306,330)</w:t>
            </w:r>
          </w:p>
        </w:tc>
        <w:tc>
          <w:tcPr>
            <w:tcW w:w="20" w:type="dxa"/>
            <w:vAlign w:val="bottom"/>
          </w:tcPr>
          <w:p>
            <w:pPr>
              <w:spacing w:after="0"/>
              <w:rPr>
                <w:sz w:val="18"/>
                <w:szCs w:val="18"/>
                <w:color w:val="auto"/>
              </w:rPr>
            </w:pPr>
          </w:p>
        </w:tc>
      </w:tr>
      <w:tr>
        <w:trPr>
          <w:trHeight w:val="21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Non-Mainland China</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(11,280,151)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(13,888,146)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(28,062,849)</w:t>
            </w:r>
          </w:p>
        </w:tc>
        <w:tc>
          <w:tcPr>
            <w:tcW w:w="20" w:type="dxa"/>
            <w:vAlign w:val="bottom"/>
          </w:tcPr>
          <w:p>
            <w:pPr>
              <w:spacing w:after="0"/>
              <w:rPr>
                <w:sz w:val="18"/>
                <w:szCs w:val="18"/>
                <w:color w:val="auto"/>
              </w:rPr>
            </w:pPr>
          </w:p>
        </w:tc>
      </w:tr>
      <w:tr>
        <w:trPr>
          <w:trHeight w:val="210"/>
        </w:trPr>
        <w:tc>
          <w:tcPr>
            <w:tcW w:w="6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(282,028,866)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(216,807,189)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(62,369,179)</w:t>
            </w:r>
          </w:p>
        </w:tc>
        <w:tc>
          <w:tcPr>
            <w:tcW w:w="2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tax benefit consists of the following:</w:t>
      </w:r>
    </w:p>
    <w:p>
      <w:pPr>
        <w:spacing w:after="0" w:line="232"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460" w:type="dxa"/>
            <w:vAlign w:val="bottom"/>
            <w:vMerge w:val="restart"/>
          </w:tcPr>
          <w:p>
            <w:pPr>
              <w:ind w:left="63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02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02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759,425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(464,340)</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Non-Mainland China</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144,468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income tax expense (benefit)</w:t>
            </w:r>
          </w:p>
        </w:tc>
        <w:tc>
          <w:tcPr>
            <w:tcW w:w="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759,425</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(319,872)</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1,222,831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(10,952,309)</w:t>
            </w: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(23,286,678)</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(22,952,588)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Non-Mainland China</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Deferred income tax benefit</w:t>
            </w:r>
          </w:p>
        </w:tc>
        <w:tc>
          <w:tcPr>
            <w:tcW w:w="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(10,952,309)</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(23,286,678)</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(24,206,422)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(10,192,884)</w:t>
            </w: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(23,606,550)</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(22,983,591)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Withholding tax on undistributed dividends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CIT law also imposes a withholding income tax of 10% on dividends distributed by a foreign investment enterprise (“FIE”) to its immediate holding company outside of mainland China, if such immediate holding company is considered as a non-resident enterprise without any establishment or place within mainland China or if the received dividends have no connection with the establishment or place of such immediate holding company within mainland China, unless such immediate holding company’s jurisdiction of incorporation has a tax treaty with mainland China that provides for a different withholding arrangement. The Cayman Islands, where the Company is incorporated, does not have such tax treaty with mainland China. According to the arrangement between mainland China and Hong Kong S.A.R. on the Avoidance of Double Taxation and Prevention of Fiscal Evasion in August 2006, dividends paid by an FIE in mainland China to its immediate holding company in Hong Kong will be subject to withholding tax at a rate of no more than 5% (if the foreign investor owns directly at least 25% of the shares of the FIE). The Group plans to indefinitely reinvest the undistributed earnings of the Group’s PRC entities, and therefore, no provision for PRC dividend withholding tax was accrued.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Reconciliation of the differences between PRC statutory income tax rate and the Group’s effective income tax rate for the years ended December 31, 2023 and 2024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40" w:type="dxa"/>
            <w:vAlign w:val="bottom"/>
          </w:tcPr>
          <w:p>
            <w:pPr>
              <w:spacing w:after="0"/>
              <w:rPr>
                <w:sz w:val="13"/>
                <w:szCs w:val="13"/>
                <w:color w:val="auto"/>
              </w:rPr>
            </w:pPr>
          </w:p>
        </w:tc>
        <w:tc>
          <w:tcPr>
            <w:tcW w:w="258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258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vMerge w:val="restart"/>
          </w:tcPr>
          <w:p>
            <w:pPr>
              <w:ind w:left="7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vMerge w:val="continue"/>
          </w:tcPr>
          <w:p>
            <w:pPr>
              <w:spacing w:after="0"/>
              <w:rPr>
                <w:sz w:val="12"/>
                <w:szCs w:val="12"/>
                <w:color w:val="auto"/>
              </w:rPr>
            </w:pPr>
          </w:p>
        </w:tc>
        <w:tc>
          <w:tcPr>
            <w:tcW w:w="128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taxation at PRC statutory tax rate</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(71,077,803)</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(54,201,797)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Tax effect of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exempt entities and differing tax rates in different jurisdictions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2,820,038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 bonus deduction</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(30,807,283)</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(25,718,922)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share-based compensation expenses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11,742,974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5,850,869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non-deductible expenses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2,491,593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Preferential tax rate difference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7,301,540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15,880,110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229,108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67,106,949</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32,473,625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Actual income tax benefit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(10,192,884)</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(23,606,550)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preferential tax rates on basic net loss per ordinary share</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Effect of preferential tax rates on diluted net loss per ordinary share</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adopted the new guidance of ASU 2023-09 on a prospective basis as of January 1, 2025. Reconciliation of the differences between the PRC statutory income tax rate and the Group’s income effective tax rate for the year ended December 31, 2025 is as follows :</w:t>
      </w:r>
    </w:p>
    <w:p>
      <w:pPr>
        <w:spacing w:after="0" w:line="183"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6"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4669155</wp:posOffset>
            </wp:positionH>
            <wp:positionV relativeFrom="paragraph">
              <wp:posOffset>-3175</wp:posOffset>
            </wp:positionV>
            <wp:extent cx="150876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5">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ind w:left="8400"/>
        <w:spacing w:after="0" w:line="232" w:lineRule="auto"/>
        <w:rPr>
          <w:sz w:val="20"/>
          <w:szCs w:val="20"/>
          <w:color w:val="auto"/>
        </w:rPr>
      </w:pPr>
      <w:r>
        <w:rPr>
          <w:rFonts w:ascii="Times New Roman" w:cs="Times New Roman" w:eastAsia="Times New Roman" w:hAnsi="Times New Roman"/>
          <w:sz w:val="14"/>
          <w:szCs w:val="14"/>
          <w:b w:val="1"/>
          <w:bCs w:val="1"/>
          <w:color w:val="auto"/>
        </w:rPr>
        <w:t>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360" w:type="dxa"/>
            <w:vAlign w:val="bottom"/>
          </w:tcPr>
          <w:p>
            <w:pPr>
              <w:ind w:left="72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taxation at PRC statutory tax rate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(15,592,295)</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0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6,691,566</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non-deductible expenses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4,745,881</w:t>
            </w:r>
          </w:p>
        </w:tc>
        <w:tc>
          <w:tcPr>
            <w:tcW w:w="2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incentives relating to R&amp;D expenditures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(28,027,491)</w:t>
            </w:r>
          </w:p>
        </w:tc>
        <w:tc>
          <w:tcPr>
            <w:tcW w:w="2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44.9 %</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Preferential tax rate difference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(338,266)</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16"/>
        </w:trPr>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2,026,356</w:t>
            </w:r>
          </w:p>
        </w:tc>
        <w:tc>
          <w:tcPr>
            <w:tcW w:w="2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6,688,725</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821,933</w:t>
            </w:r>
          </w:p>
        </w:tc>
        <w:tc>
          <w:tcPr>
            <w:tcW w:w="2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9"/>
        </w:trPr>
        <w:tc>
          <w:tcPr>
            <w:tcW w:w="7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Actual income tax benefit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(22,983,591)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 of preferential tax rates on basic net loss per ordinary share</w:t>
            </w: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60" w:type="dxa"/>
            <w:vAlign w:val="bottom"/>
            <w:vMerge w:val="continue"/>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0.00</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preferential tax rates on diluted net loss per ordinary share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In 2025, the Group paid RMB28,085 of income taxes in mainland China and RMB61,845 in jurisdictions outside mainland China.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Deferred income tax assets and deferred income tax liabilities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00" w:type="dxa"/>
            <w:vAlign w:val="bottom"/>
            <w:vMerge w:val="restart"/>
          </w:tcPr>
          <w:p>
            <w:pPr>
              <w:ind w:left="7360"/>
              <w:spacing w:after="0"/>
              <w:rPr>
                <w:sz w:val="20"/>
                <w:szCs w:val="20"/>
                <w:color w:val="auto"/>
              </w:rPr>
            </w:pPr>
            <w:r>
              <w:rPr>
                <w:rFonts w:ascii="Times New Roman" w:cs="Times New Roman" w:eastAsia="Times New Roman" w:hAnsi="Times New Roman"/>
                <w:sz w:val="14"/>
                <w:szCs w:val="14"/>
                <w:color w:val="auto"/>
              </w:rPr>
              <w:t>​​​</w:t>
            </w:r>
          </w:p>
        </w:tc>
        <w:tc>
          <w:tcPr>
            <w:tcW w:w="24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vMerge w:val="continue"/>
          </w:tcPr>
          <w:p>
            <w:pPr>
              <w:spacing w:after="0"/>
              <w:rPr>
                <w:sz w:val="12"/>
                <w:szCs w:val="12"/>
                <w:color w:val="auto"/>
              </w:rPr>
            </w:pPr>
          </w:p>
        </w:tc>
        <w:tc>
          <w:tcPr>
            <w:tcW w:w="108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Pr>
          <w:p>
            <w:pPr>
              <w:ind w:left="73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income tax assets</w:t>
            </w: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115,610,787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130,002,615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4,394,077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Advertising expense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2,113,991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10,709,100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16,727,916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43,361,947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40,986,292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226,552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Write-downs of inventories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6,426,901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19,587,760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(140,255,931)</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(146,944,656)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income tax assets, net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42,587,424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69,777,417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income tax liabilities</w:t>
            </w: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226,551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13,878,083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12,875,517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income tax liabilities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14,104,634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14,377,877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income tax assets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31,752,254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57,457,432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deferred income tax liabilities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3,269,464</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2,057,892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the Group had net operating loss carry forwards of RMB566,702,406 attributable to the subsidiaries in mainland China, the VIE and VIE’s subsidiaries. Tax losses of RMB21,713,526, RMB72,944,125, RMB151,690,992, RMB256,708,356 and RMB63,645,407 will expire, if unused, by 2026, 2027, 2028,2029 and 2030, respectively.</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valuation allowance is provided against deferred income tax assets when the Group determines that it is more likely than not that some portion or all of the deferred income tax assets will not be utilized in the foreseeable future. The valuation allowance as of December 31, 2024 and 2025 was primarily provided for the deferred income tax assets of certain subsidiaries in mainland China, the VIE and VIE’s subsidiaries. In making such determination, the Group evaluates a variety of factors including the Group’s operating history, accumulated deficit, existence of taxable temporary differences and reversal periods. The ultimate realization of deferred income tax assets is dependent upon the generation of future taxable income during the periods in which those temporary differences become deductible or utilizable. Management considers projected future taxable income and tax planning strategies in making this assessment.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valuation allowance are as follows:</w:t>
      </w:r>
    </w:p>
    <w:p>
      <w:pPr>
        <w:spacing w:after="0" w:line="232"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ind w:left="78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960" w:type="dxa"/>
            <w:vAlign w:val="bottom"/>
            <w:tcBorders>
              <w:top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ind w:left="64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40,764,285</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107,782,306</w:t>
            </w:r>
          </w:p>
        </w:tc>
        <w:tc>
          <w:tcPr>
            <w:tcW w:w="20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140,255,931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68,593,841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32,473,625</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31,752,295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(1,575,820)</w:t>
            </w: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(25,063,570)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the end of the year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107,782,306</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140,255,931</w:t>
            </w:r>
          </w:p>
        </w:tc>
        <w:tc>
          <w:tcPr>
            <w:tcW w:w="20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146,944,656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According to the PRC Tax Administration and Collection Law, the statute of limitation is three years if the underpayment of taxes is due to computational errors made by the taxpayer or the withholding agent. The statute of limitation is extended to five years under special circumstances where the underpayment of taxes is more than RMB100,000. In the case of transfer pricing issues, the statute of limitation is ten years. There is no statute of limitation in the case of tax evasion. The income tax returns of the Company’s subsidiaries in mainland China, the VIE and VIE’s subsidiaries for the years from 2021 to 2025 are open to examination by the PRC tax authorities.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LOSS PER ORDINARY SHARE</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basic and diluted net loss per ordinary share computation and provides a reconciliation of the numerator and denominator for the years presented:</w:t>
      </w:r>
    </w:p>
    <w:p>
      <w:pPr>
        <w:spacing w:after="0" w:line="169"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ind w:left="77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20" w:type="dxa"/>
            <w:vAlign w:val="bottom"/>
            <w:tcBorders>
              <w:top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480" w:type="dxa"/>
            <w:vAlign w:val="bottom"/>
          </w:tcPr>
          <w:p>
            <w:pPr>
              <w:ind w:left="636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260" w:type="dxa"/>
            <w:vAlign w:val="bottom"/>
            <w:gridSpan w:val="5"/>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RMB, except for share</w:t>
            </w:r>
          </w:p>
        </w:tc>
        <w:tc>
          <w:tcPr>
            <w:tcW w:w="140" w:type="dxa"/>
            <w:vAlign w:val="bottom"/>
            <w:gridSpan w:val="2"/>
            <w:vMerge w:val="continue"/>
          </w:tcPr>
          <w:p>
            <w:pPr>
              <w:spacing w:after="0"/>
              <w:rPr>
                <w:sz w:val="11"/>
                <w:szCs w:val="11"/>
                <w:color w:val="auto"/>
              </w:rPr>
            </w:pPr>
          </w:p>
        </w:tc>
        <w:tc>
          <w:tcPr>
            <w:tcW w:w="1020" w:type="dxa"/>
            <w:vAlign w:val="bottom"/>
            <w:gridSpan w:val="2"/>
          </w:tcPr>
          <w:p>
            <w:pPr>
              <w:jc w:val="right"/>
              <w:ind w:right="673"/>
              <w:spacing w:after="0" w:line="129" w:lineRule="exact"/>
              <w:rPr>
                <w:sz w:val="20"/>
                <w:szCs w:val="20"/>
                <w:color w:val="auto"/>
              </w:rPr>
            </w:pPr>
            <w:r>
              <w:rPr>
                <w:rFonts w:ascii="Times New Roman" w:cs="Times New Roman" w:eastAsia="Times New Roman" w:hAnsi="Times New Roman"/>
                <w:sz w:val="14"/>
                <w:szCs w:val="14"/>
                <w:b w:val="1"/>
                <w:bCs w:val="1"/>
                <w:color w:val="auto"/>
                <w:w w:val="76"/>
              </w:rPr>
              <w:t>data)</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(271,835,982)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(193,200,639)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(39,385,588)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80" w:type="dxa"/>
            <w:vAlign w:val="bottom"/>
            <w:tcBorders>
              <w:top w:val="single" w:sz="8" w:color="CCEEFF"/>
              <w:right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154,795,461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155,735,312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156,334,581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equivalents outstanding</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2,020,644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2,724,930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80" w:type="dxa"/>
            <w:vAlign w:val="bottom"/>
            <w:tcBorders>
              <w:top w:val="single" w:sz="8" w:color="CCEEFF"/>
              <w:right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 for basic and diluted net loss per ordinary share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156,816,105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158,460,242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159,714,698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Borders>
              <w:top w:val="single" w:sz="8" w:color="CCEEFF"/>
              <w:right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ordinary share</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Securities that could potentially dilute basic net loss per share in the future that were not included in the computation of diluted net loss per share because to do so would have been antidilutive for the years ended December 31, 2024 and 2025 were as follow: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20" w:type="dxa"/>
            <w:vAlign w:val="bottom"/>
            <w:gridSpan w:val="6"/>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6"/>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3,753,328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3,637,968</w:t>
            </w:r>
          </w:p>
        </w:tc>
        <w:tc>
          <w:tcPr>
            <w:tcW w:w="0" w:type="dxa"/>
            <w:vAlign w:val="bottom"/>
          </w:tcPr>
          <w:p>
            <w:pPr>
              <w:spacing w:after="0"/>
              <w:rPr>
                <w:sz w:val="1"/>
                <w:szCs w:val="1"/>
                <w:color w:val="auto"/>
              </w:rPr>
            </w:pPr>
          </w:p>
        </w:tc>
      </w:tr>
      <w:tr>
        <w:trPr>
          <w:trHeight w:val="234"/>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restricted share units</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2,753,342</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7,670,528</w:t>
            </w:r>
          </w:p>
        </w:tc>
        <w:tc>
          <w:tcPr>
            <w:tcW w:w="0" w:type="dxa"/>
            <w:vAlign w:val="bottom"/>
          </w:tcPr>
          <w:p>
            <w:pPr>
              <w:spacing w:after="0"/>
              <w:rPr>
                <w:sz w:val="1"/>
                <w:szCs w:val="1"/>
                <w:color w:val="auto"/>
              </w:rPr>
            </w:pPr>
          </w:p>
        </w:tc>
      </w:tr>
      <w:tr>
        <w:trPr>
          <w:trHeight w:val="427"/>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16. REVENUE INFORMATION</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Revenues consisted of the following:</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5"/>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00" w:type="dxa"/>
            <w:vAlign w:val="bottom"/>
            <w:gridSpan w:val="2"/>
          </w:tcPr>
          <w:p>
            <w:pPr>
              <w:ind w:left="60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2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center"/>
              <w:ind w:left="1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left="19"/>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 scooter sales</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2,358,658,368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2,960,507,972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3,896,479,832</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Accessory and spare parts sales</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197,634,073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241,680,284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299,172,649</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revenues</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95,465,205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86,108,088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112,213,017</w:t>
            </w:r>
          </w:p>
        </w:tc>
        <w:tc>
          <w:tcPr>
            <w:tcW w:w="0" w:type="dxa"/>
            <w:vAlign w:val="bottom"/>
          </w:tcPr>
          <w:p>
            <w:pPr>
              <w:spacing w:after="0"/>
              <w:rPr>
                <w:sz w:val="1"/>
                <w:szCs w:val="1"/>
                <w:color w:val="auto"/>
              </w:rPr>
            </w:pP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2,651,757,646</w:t>
            </w:r>
          </w:p>
        </w:tc>
        <w:tc>
          <w:tcPr>
            <w:tcW w:w="14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3,288,296,344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4,307,865,498</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summarized the Group’s revenues from the following geographic areas (based on the location of customers):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60" w:type="dxa"/>
            <w:vAlign w:val="bottom"/>
            <w:gridSpan w:val="4"/>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3"/>
        </w:trPr>
        <w:tc>
          <w:tcPr>
            <w:tcW w:w="61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42"/>
        </w:trPr>
        <w:tc>
          <w:tcPr>
            <w:tcW w:w="6220" w:type="dxa"/>
            <w:vAlign w:val="bottom"/>
            <w:gridSpan w:val="2"/>
          </w:tcPr>
          <w:p>
            <w:pPr>
              <w:ind w:left="6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1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61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2,247,593,239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2,845,174,856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4,003,396,070</w:t>
            </w: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151,521,237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172,195,656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177,783,756</w:t>
            </w: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252,643,170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270,925,832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126,685,672</w:t>
            </w:r>
          </w:p>
        </w:tc>
      </w:tr>
      <w:tr>
        <w:trPr>
          <w:trHeight w:val="209"/>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2,651,757,646</w:t>
            </w: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3,288,296,344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4,307,865,498</w:t>
            </w:r>
          </w:p>
        </w:tc>
      </w:tr>
      <w:tr>
        <w:trPr>
          <w:trHeight w:val="20"/>
        </w:trPr>
        <w:tc>
          <w:tcPr>
            <w:tcW w:w="6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58"/>
        </w:trPr>
        <w:tc>
          <w:tcPr>
            <w:tcW w:w="6220" w:type="dxa"/>
            <w:vAlign w:val="bottom"/>
            <w:gridSpan w:val="2"/>
          </w:tcPr>
          <w:p>
            <w:pPr>
              <w:ind w:left="4800"/>
              <w:spacing w:after="0"/>
              <w:rPr>
                <w:sz w:val="20"/>
                <w:szCs w:val="20"/>
                <w:color w:val="auto"/>
              </w:rPr>
            </w:pPr>
            <w:r>
              <w:rPr>
                <w:rFonts w:ascii="Times New Roman" w:cs="Times New Roman" w:eastAsia="Times New Roman" w:hAnsi="Times New Roman"/>
                <w:sz w:val="18"/>
                <w:szCs w:val="18"/>
                <w:color w:val="auto"/>
              </w:rPr>
              <w:t>F-36</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47"/>
        </w:trPr>
        <w:tc>
          <w:tcPr>
            <w:tcW w:w="6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OPERATING LEASES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Group leases its facilities and offices under non-cancelable operating lease agreements. For the years ended December 31, 2023, 2024 and 2025, the operating lease cost were RMB7,549,026, RMB6,829,793 and RMB5,190,078, respectively, and the short-term lease cost were RMB1,480,259, RMB1,263,426 and RMB2,846,447, respectively. There were no leasing costs other than operating lease costs or short-term lease costs.</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supplemental information related to operating leases as of December 31, 2024 and 2025 was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380" w:type="dxa"/>
            <w:vAlign w:val="bottom"/>
            <w:tcBorders>
              <w:bottom w:val="single" w:sz="8" w:color="auto"/>
            </w:tcBorders>
            <w:gridSpan w:val="5"/>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2"/>
                <w:szCs w:val="12"/>
                <w:color w:val="auto"/>
              </w:rPr>
            </w:pPr>
          </w:p>
        </w:tc>
        <w:tc>
          <w:tcPr>
            <w:tcW w:w="2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 right-of-use assets</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71,223,350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75,954,225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liabilities—current (Note 10)</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1,253,020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liabilities—non-current</w:t>
            </w:r>
          </w:p>
        </w:tc>
        <w:tc>
          <w:tcPr>
            <w:tcW w:w="9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89,990</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3,956,501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9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1,343,010</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7,144,100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360" w:type="dxa"/>
            <w:vAlign w:val="bottom"/>
            <w:gridSpan w:val="2"/>
          </w:tcPr>
          <w:p>
            <w:pPr>
              <w:ind w:left="6140"/>
              <w:spacing w:after="0"/>
              <w:rPr>
                <w:sz w:val="20"/>
                <w:szCs w:val="20"/>
                <w:color w:val="auto"/>
              </w:rPr>
            </w:pPr>
            <w:r>
              <w:rPr>
                <w:rFonts w:ascii="Times New Roman" w:cs="Times New Roman" w:eastAsia="Times New Roman" w:hAnsi="Times New Roman"/>
                <w:sz w:val="14"/>
                <w:szCs w:val="14"/>
                <w:b w:val="1"/>
                <w:bCs w:val="1"/>
                <w:color w:val="auto"/>
              </w:rPr>
              <w:t>​​​</w:t>
            </w:r>
          </w:p>
        </w:tc>
        <w:tc>
          <w:tcPr>
            <w:tcW w:w="3540" w:type="dxa"/>
            <w:vAlign w:val="bottom"/>
            <w:gridSpan w:val="9"/>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7,711,479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5,263,335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3,744,607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1,144,700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9,706,409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Modification to right-of-use assets</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(5,217,099)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as of December 31, 2025 was 2.5 years, and the weighted average discount rate of the operating leases was 3.09%.</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Maturities of lease liabilities under the Group’s non-cancellable operating leases as of December 31, 2025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4680" w:type="dxa"/>
            <w:vAlign w:val="bottom"/>
            <w:gridSpan w:val="3"/>
          </w:tcPr>
          <w:p>
            <w:pPr>
              <w:ind w:left="2660"/>
              <w:spacing w:after="0"/>
              <w:rPr>
                <w:sz w:val="20"/>
                <w:szCs w:val="20"/>
                <w:color w:val="auto"/>
              </w:rPr>
            </w:pPr>
            <w:r>
              <w:rPr>
                <w:rFonts w:ascii="Times New Roman" w:cs="Times New Roman" w:eastAsia="Times New Roman" w:hAnsi="Times New Roman"/>
                <w:sz w:val="14"/>
                <w:szCs w:val="14"/>
                <w:b w:val="1"/>
                <w:bCs w:val="1"/>
                <w:color w:val="auto"/>
              </w:rPr>
              <w:t>​​​   As of December 31, 2025</w:t>
            </w:r>
          </w:p>
        </w:tc>
      </w:tr>
      <w:tr>
        <w:trPr>
          <w:trHeight w:val="142"/>
        </w:trPr>
        <w:tc>
          <w:tcPr>
            <w:tcW w:w="52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80" w:type="dxa"/>
            <w:vAlign w:val="bottom"/>
            <w:tcBorders>
              <w:top w:val="single" w:sz="8" w:color="auto"/>
            </w:tcBorders>
          </w:tcPr>
          <w:p>
            <w:pPr>
              <w:jc w:val="right"/>
              <w:ind w:right="69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3,365,974</w:t>
            </w:r>
          </w:p>
        </w:tc>
        <w:tc>
          <w:tcPr>
            <w:tcW w:w="20" w:type="dxa"/>
            <w:vAlign w:val="bottom"/>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After 1 year but within 2 years</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4,030,116</w:t>
            </w:r>
          </w:p>
        </w:tc>
        <w:tc>
          <w:tcPr>
            <w:tcW w:w="2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undiscounted lease payment</w:t>
            </w:r>
          </w:p>
        </w:tc>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7,396,090</w:t>
            </w:r>
          </w:p>
        </w:tc>
        <w:tc>
          <w:tcPr>
            <w:tcW w:w="20" w:type="dxa"/>
            <w:vAlign w:val="bottom"/>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(251,990)</w:t>
            </w:r>
          </w:p>
        </w:tc>
        <w:tc>
          <w:tcPr>
            <w:tcW w:w="20" w:type="dxa"/>
            <w:vAlign w:val="bottom"/>
          </w:tcPr>
          <w:p>
            <w:pPr>
              <w:spacing w:after="0"/>
              <w:rPr>
                <w:sz w:val="18"/>
                <w:szCs w:val="18"/>
                <w:color w:val="auto"/>
              </w:rPr>
            </w:pPr>
          </w:p>
        </w:tc>
      </w:tr>
      <w:tr>
        <w:trPr>
          <w:trHeight w:val="210"/>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Present value of lease liabilities</w:t>
            </w:r>
          </w:p>
        </w:tc>
        <w:tc>
          <w:tcPr>
            <w:tcW w:w="2780" w:type="dxa"/>
            <w:vAlign w:val="bottom"/>
            <w:tcBorders>
              <w:top w:val="single" w:sz="8" w:color="CCEEFF"/>
              <w:bottom w:val="single" w:sz="8" w:color="CCEEFF"/>
            </w:tcBorders>
            <w:shd w:val="clear" w:color="auto" w:fill="CCEEFF"/>
          </w:tcPr>
          <w:p>
            <w:pPr>
              <w:spacing w:after="0"/>
              <w:rPr>
                <w:sz w:val="18"/>
                <w:szCs w:val="18"/>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7,144,100</w:t>
            </w:r>
          </w:p>
        </w:tc>
        <w:tc>
          <w:tcPr>
            <w:tcW w:w="2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the Group has no significant lease contract that has been entered into but not yet commenced.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202"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The Group did not have any significant capital or other commitments or guarantees or contingencies as of December 31, 2024 and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PARENT COMPANY ONLY CONDENSED FINANCIAL INFORMATION</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For the presentation of the parent company only condensed financial information, the Company records its investment in subsidiaries, consolidated VIE and VIE’s subsidiaries, under the equity method of accounting as prescribed in ASC Topic 323, </w:t>
      </w:r>
      <w:r>
        <w:rPr>
          <w:rFonts w:ascii="Times New Roman" w:cs="Times New Roman" w:eastAsia="Times New Roman" w:hAnsi="Times New Roman"/>
          <w:sz w:val="18"/>
          <w:szCs w:val="18"/>
          <w:i w:val="1"/>
          <w:iCs w:val="1"/>
          <w:color w:val="auto"/>
        </w:rPr>
        <w:t>Investments-Equity Method and Joint Ventures</w:t>
      </w:r>
      <w:r>
        <w:rPr>
          <w:rFonts w:ascii="Times New Roman" w:cs="Times New Roman" w:eastAsia="Times New Roman" w:hAnsi="Times New Roman"/>
          <w:sz w:val="18"/>
          <w:szCs w:val="18"/>
          <w:color w:val="auto"/>
        </w:rPr>
        <w:t>. Such investments are presented on the condensed balance sheets as “Investment in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due from subsidiaries, consolidated VIE and VIE’s subsidiaries” and the subsidiaries, consolidated VIE and VIE’s subsidiaries’ income as “Share of loss from subsidiaries, consolidated VIE and VIE’s subsidiaries” on the condensed statements of results of operations. The parent company only condensed financial information should be read in conjunction with the Group’s consolidated financial statements. As of December 31, 2024 and 2025, there were no material contingencies, significant provisions of long-term obligations, mandatory dividend or redemption requirements of redeemable stocks or guarantees of Niu Technologies, except for those, which have been separately disclosed in the consolidated financial statements.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(a)</w:t>
      </w:r>
      <w:r>
        <w:rPr>
          <w:sz w:val="20"/>
          <w:szCs w:val="20"/>
          <w:color w:val="auto"/>
        </w:rPr>
        <w:tab/>
      </w:r>
      <w:r>
        <w:rPr>
          <w:rFonts w:ascii="Times New Roman" w:cs="Times New Roman" w:eastAsia="Times New Roman" w:hAnsi="Times New Roman"/>
          <w:sz w:val="17"/>
          <w:szCs w:val="17"/>
          <w:b w:val="1"/>
          <w:bCs w:val="1"/>
          <w:i w:val="1"/>
          <w:iCs w:val="1"/>
          <w:color w:val="auto"/>
        </w:rPr>
        <w:t>Condensed Balance Sheets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9"/>
          </w:tcPr>
          <w:p>
            <w:pPr>
              <w:ind w:left="3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center"/>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40,441,814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48,651,480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deposits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68,289,800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215,652,000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210,864,000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8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13,518,861</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10,497,711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337,902,475</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270,013,191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Investment in and amount due from subsidiaries, consolidated VIE and VIE’s subsidiaries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600,596,446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642,812,016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938,498,921</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912,825,207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subsidiaries, consolidated VIE and VIE’s subsidiaries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4,632,432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2,584,269</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 and total liabilities</w:t>
            </w:r>
          </w:p>
        </w:tc>
        <w:tc>
          <w:tcPr>
            <w:tcW w:w="8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7,216,701</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7,893,903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1,988,638,160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2,016,533,709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4"/>
          </w:tcPr>
          <w:p>
            <w:pPr>
              <w:jc w:val="right"/>
              <w:ind w:right="88"/>
              <w:spacing w:after="0"/>
              <w:rPr>
                <w:sz w:val="20"/>
                <w:szCs w:val="20"/>
                <w:color w:val="auto"/>
              </w:rPr>
            </w:pPr>
            <w:r>
              <w:rPr>
                <w:rFonts w:ascii="Times New Roman" w:cs="Times New Roman" w:eastAsia="Times New Roman" w:hAnsi="Times New Roman"/>
                <w:sz w:val="18"/>
                <w:szCs w:val="18"/>
                <w:color w:val="auto"/>
              </w:rPr>
              <w:t>(3,129,362)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(17,990,674)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180" w:type="dxa"/>
            <w:vAlign w:val="bottom"/>
            <w:gridSpan w:val="7"/>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(1,054,327,443)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(1,093,713,031)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8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931,282,220</w:t>
            </w:r>
          </w:p>
        </w:tc>
        <w:tc>
          <w:tcPr>
            <w:tcW w:w="1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904,931,304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8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938,498,921</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912,825,207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(b)  Condensed Statements of Results of Operations</w:t>
            </w: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00" w:type="dxa"/>
            <w:vAlign w:val="bottom"/>
            <w:gridSpan w:val="3"/>
            <w:vMerge w:val="continue"/>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12"/>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gridSpan w:val="2"/>
          </w:tcPr>
          <w:p>
            <w:pPr>
              <w:ind w:left="63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top w:val="single" w:sz="8" w:color="auto"/>
            </w:tcBorders>
            <w:gridSpan w:val="4"/>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(17,739,201)</w:t>
            </w:r>
          </w:p>
        </w:tc>
        <w:tc>
          <w:tcPr>
            <w:tcW w:w="122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(13,025,259)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(12,321,808)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of loss from subsidiaries, consolidated VIE and VIE’s subsidiaries</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8"/>
              </w:rPr>
              <w:t>(270,498,551)</w:t>
            </w:r>
          </w:p>
        </w:tc>
        <w:tc>
          <w:tcPr>
            <w:tcW w:w="12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(195,199,614)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(36,346,156)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16,401,770</w:t>
            </w:r>
          </w:p>
        </w:tc>
        <w:tc>
          <w:tcPr>
            <w:tcW w:w="2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15,024,234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(271,835,982)</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(193,200,639)</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(39,385,588)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(271,835,982)</w:t>
            </w:r>
          </w:p>
        </w:tc>
        <w:tc>
          <w:tcPr>
            <w:tcW w:w="122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(193,200,639)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(39,385,588)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6480" w:type="dxa"/>
            <w:vAlign w:val="bottom"/>
            <w:gridSpan w:val="2"/>
          </w:tcPr>
          <w:p>
            <w:pPr>
              <w:ind w:left="4780"/>
              <w:spacing w:after="0"/>
              <w:rPr>
                <w:sz w:val="20"/>
                <w:szCs w:val="20"/>
                <w:color w:val="auto"/>
              </w:rPr>
            </w:pPr>
            <w:r>
              <w:rPr>
                <w:rFonts w:ascii="Times New Roman" w:cs="Times New Roman" w:eastAsia="Times New Roman" w:hAnsi="Times New Roman"/>
                <w:sz w:val="18"/>
                <w:szCs w:val="18"/>
                <w:color w:val="auto"/>
              </w:rPr>
              <w:t>F-38</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(c)</w:t>
        <w:tab/>
        <w:t>Condensed Statements of Cash Flows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80" w:type="dxa"/>
            <w:vAlign w:val="bottom"/>
            <w:vMerge w:val="restart"/>
          </w:tcPr>
          <w:p>
            <w:pPr>
              <w:ind w:left="6360"/>
              <w:spacing w:after="0"/>
              <w:rPr>
                <w:sz w:val="20"/>
                <w:szCs w:val="20"/>
                <w:color w:val="auto"/>
              </w:rPr>
            </w:pPr>
            <w:r>
              <w:rPr>
                <w:rFonts w:ascii="Times New Roman" w:cs="Times New Roman" w:eastAsia="Times New Roman" w:hAnsi="Times New Roman"/>
                <w:sz w:val="14"/>
                <w:szCs w:val="14"/>
                <w:b w:val="1"/>
                <w:bCs w:val="1"/>
                <w:color w:val="auto"/>
              </w:rPr>
              <w:t>​​​</w:t>
            </w:r>
          </w:p>
        </w:tc>
        <w:tc>
          <w:tcPr>
            <w:tcW w:w="344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vMerge w:val="continue"/>
          </w:tcPr>
          <w:p>
            <w:pPr>
              <w:spacing w:after="0"/>
              <w:rPr>
                <w:sz w:val="12"/>
                <w:szCs w:val="12"/>
                <w:color w:val="auto"/>
              </w:rPr>
            </w:pPr>
          </w:p>
        </w:tc>
        <w:tc>
          <w:tcPr>
            <w:tcW w:w="102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2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14,392,402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(177,106)</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133,818,900</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(89,689,320)</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7,644,080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654,023</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267,335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foreign currency exchange rate changes on cash, cash equivalents and</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4,034,789</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4,212,517</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(5,835,177)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152,900,114</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(85,386,574)</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3,421,666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year</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188,580,274</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341,480,388</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256,093,814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year</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341,480,388</w:t>
            </w:r>
          </w:p>
        </w:tc>
        <w:tc>
          <w:tcPr>
            <w:tcW w:w="1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256,093,814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259,515,480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4780"/>
              <w:spacing w:after="0"/>
              <w:rPr>
                <w:sz w:val="20"/>
                <w:szCs w:val="20"/>
                <w:color w:val="auto"/>
              </w:rPr>
            </w:pPr>
            <w:r>
              <w:rPr>
                <w:rFonts w:ascii="Times New Roman" w:cs="Times New Roman" w:eastAsia="Times New Roman" w:hAnsi="Times New Roman"/>
                <w:sz w:val="18"/>
                <w:szCs w:val="18"/>
                <w:color w:val="auto"/>
              </w:rPr>
              <w:t>F-39</w:t>
            </w: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64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86" w:name="page187"/>
    <w:bookmarkEnd w:id="1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w w:val="99"/>
              </w:rPr>
              <w:t>Exhibit 8.1</w:t>
            </w:r>
          </w:p>
        </w:tc>
      </w:tr>
      <w:tr>
        <w:trPr>
          <w:trHeight w:val="432"/>
        </w:trPr>
        <w:tc>
          <w:tcPr>
            <w:tcW w:w="20" w:type="dxa"/>
            <w:vAlign w:val="bottom"/>
          </w:tcPr>
          <w:p>
            <w:pPr>
              <w:spacing w:after="0"/>
              <w:rPr>
                <w:sz w:val="24"/>
                <w:szCs w:val="24"/>
                <w:color w:val="auto"/>
              </w:rPr>
            </w:pPr>
          </w:p>
        </w:tc>
        <w:tc>
          <w:tcPr>
            <w:tcW w:w="992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List of Principal Subsidiaries, the Variable Interest Entity and the Subsidiaries of the Variable Interest Entity</w:t>
            </w:r>
          </w:p>
        </w:tc>
      </w:tr>
      <w:tr>
        <w:trPr>
          <w:trHeight w:val="445"/>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20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r>
      <w:tr>
        <w:trPr>
          <w:trHeight w:val="191"/>
        </w:trPr>
        <w:tc>
          <w:tcPr>
            <w:tcW w:w="20" w:type="dxa"/>
            <w:vAlign w:val="bottom"/>
          </w:tcPr>
          <w:p>
            <w:pPr>
              <w:spacing w:after="0"/>
              <w:rPr>
                <w:sz w:val="16"/>
                <w:szCs w:val="16"/>
                <w:color w:val="auto"/>
              </w:rPr>
            </w:pPr>
          </w:p>
        </w:tc>
        <w:tc>
          <w:tcPr>
            <w:tcW w:w="7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Niu Technologies Group Limited</w:t>
            </w:r>
          </w:p>
        </w:tc>
        <w:tc>
          <w:tcPr>
            <w:tcW w:w="180" w:type="dxa"/>
            <w:vAlign w:val="bottom"/>
          </w:tcPr>
          <w:p>
            <w:pPr>
              <w:spacing w:after="0"/>
              <w:rPr>
                <w:sz w:val="16"/>
                <w:szCs w:val="16"/>
                <w:color w:val="auto"/>
              </w:rPr>
            </w:pPr>
          </w:p>
        </w:tc>
        <w:tc>
          <w:tcPr>
            <w:tcW w:w="1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Hong Kong</w:t>
            </w:r>
          </w:p>
        </w:tc>
        <w:tc>
          <w:tcPr>
            <w:tcW w:w="20" w:type="dxa"/>
            <w:vAlign w:val="bottom"/>
          </w:tcPr>
          <w:p>
            <w:pPr>
              <w:spacing w:after="0"/>
              <w:rPr>
                <w:sz w:val="16"/>
                <w:szCs w:val="16"/>
                <w:color w:val="auto"/>
              </w:rPr>
            </w:pPr>
          </w:p>
        </w:tc>
      </w:tr>
      <w:tr>
        <w:trPr>
          <w:trHeight w:val="216"/>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Beijing Niudian Information Technology Co., Ltd.</w:t>
            </w:r>
          </w:p>
        </w:tc>
        <w:tc>
          <w:tcPr>
            <w:tcW w:w="180" w:type="dxa"/>
            <w:vAlign w:val="bottom"/>
          </w:tcPr>
          <w:p>
            <w:pPr>
              <w:spacing w:after="0"/>
              <w:rPr>
                <w:sz w:val="18"/>
                <w:szCs w:val="18"/>
                <w:color w:val="auto"/>
              </w:rPr>
            </w:pPr>
          </w:p>
        </w:tc>
        <w:tc>
          <w:tcPr>
            <w:tcW w:w="18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Mainland China</w:t>
            </w:r>
          </w:p>
        </w:tc>
      </w:tr>
      <w:tr>
        <w:trPr>
          <w:trHeight w:val="216"/>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Niu Innovation Technology Ltd</w:t>
            </w:r>
          </w:p>
        </w:tc>
        <w:tc>
          <w:tcPr>
            <w:tcW w:w="180" w:type="dxa"/>
            <w:vAlign w:val="bottom"/>
          </w:tcPr>
          <w:p>
            <w:pPr>
              <w:spacing w:after="0"/>
              <w:rPr>
                <w:sz w:val="18"/>
                <w:szCs w:val="18"/>
                <w:color w:val="auto"/>
              </w:rPr>
            </w:pPr>
          </w:p>
        </w:tc>
        <w:tc>
          <w:tcPr>
            <w:tcW w:w="18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British Virgin Islands</w:t>
            </w:r>
          </w:p>
        </w:tc>
      </w:tr>
      <w:tr>
        <w:trPr>
          <w:trHeight w:val="216"/>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Niu Technologies Europe AG</w:t>
            </w:r>
          </w:p>
        </w:tc>
        <w:tc>
          <w:tcPr>
            <w:tcW w:w="18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16"/>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Niu Technologies Germany GmbH</w:t>
            </w:r>
          </w:p>
        </w:tc>
        <w:tc>
          <w:tcPr>
            <w:tcW w:w="180" w:type="dxa"/>
            <w:vAlign w:val="bottom"/>
          </w:tcPr>
          <w:p>
            <w:pPr>
              <w:spacing w:after="0"/>
              <w:rPr>
                <w:sz w:val="18"/>
                <w:szCs w:val="18"/>
                <w:color w:val="auto"/>
              </w:rPr>
            </w:pPr>
          </w:p>
        </w:tc>
        <w:tc>
          <w:tcPr>
            <w:tcW w:w="18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Germany</w:t>
            </w:r>
          </w:p>
        </w:tc>
      </w:tr>
      <w:tr>
        <w:trPr>
          <w:trHeight w:val="234"/>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Niu Technologies Italy S.R.L.</w:t>
            </w:r>
          </w:p>
        </w:tc>
        <w:tc>
          <w:tcPr>
            <w:tcW w:w="180" w:type="dxa"/>
            <w:vAlign w:val="bottom"/>
          </w:tcPr>
          <w:p>
            <w:pPr>
              <w:spacing w:after="0"/>
              <w:rPr>
                <w:sz w:val="20"/>
                <w:szCs w:val="20"/>
                <w:color w:val="auto"/>
              </w:rPr>
            </w:pPr>
          </w:p>
        </w:tc>
        <w:tc>
          <w:tcPr>
            <w:tcW w:w="18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Italy</w:t>
            </w: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7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r>
        <w:trPr>
          <w:trHeight w:val="209"/>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Variable Interest Entity</w:t>
            </w:r>
          </w:p>
        </w:tc>
        <w:tc>
          <w:tcPr>
            <w:tcW w:w="2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r>
      <w:tr>
        <w:trPr>
          <w:trHeight w:val="228"/>
        </w:trPr>
        <w:tc>
          <w:tcPr>
            <w:tcW w:w="20" w:type="dxa"/>
            <w:vAlign w:val="bottom"/>
          </w:tcPr>
          <w:p>
            <w:pPr>
              <w:spacing w:after="0"/>
              <w:rPr>
                <w:sz w:val="19"/>
                <w:szCs w:val="19"/>
                <w:color w:val="auto"/>
              </w:rPr>
            </w:pPr>
          </w:p>
        </w:tc>
        <w:tc>
          <w:tcPr>
            <w:tcW w:w="7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Beijing Niudian Technology Co., Ltd.</w:t>
            </w:r>
          </w:p>
        </w:tc>
        <w:tc>
          <w:tcPr>
            <w:tcW w:w="180" w:type="dxa"/>
            <w:vAlign w:val="bottom"/>
          </w:tcPr>
          <w:p>
            <w:pPr>
              <w:spacing w:after="0"/>
              <w:rPr>
                <w:sz w:val="19"/>
                <w:szCs w:val="19"/>
                <w:color w:val="auto"/>
              </w:rPr>
            </w:pPr>
          </w:p>
        </w:tc>
        <w:tc>
          <w:tcPr>
            <w:tcW w:w="18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Mainland China</w:t>
            </w:r>
          </w:p>
        </w:tc>
      </w:tr>
      <w:tr>
        <w:trPr>
          <w:trHeight w:val="427"/>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Subsidiaries of the Variable Interest Entity</w:t>
            </w:r>
          </w:p>
        </w:tc>
        <w:tc>
          <w:tcPr>
            <w:tcW w:w="2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r>
      <w:tr>
        <w:trPr>
          <w:trHeight w:val="191"/>
        </w:trPr>
        <w:tc>
          <w:tcPr>
            <w:tcW w:w="20" w:type="dxa"/>
            <w:vAlign w:val="bottom"/>
          </w:tcPr>
          <w:p>
            <w:pPr>
              <w:spacing w:after="0"/>
              <w:rPr>
                <w:sz w:val="16"/>
                <w:szCs w:val="16"/>
                <w:color w:val="auto"/>
              </w:rPr>
            </w:pPr>
          </w:p>
        </w:tc>
        <w:tc>
          <w:tcPr>
            <w:tcW w:w="7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Jiangsu Xiaoniu Diandong Technology Co., Ltd.</w:t>
            </w:r>
          </w:p>
        </w:tc>
        <w:tc>
          <w:tcPr>
            <w:tcW w:w="180" w:type="dxa"/>
            <w:vAlign w:val="bottom"/>
          </w:tcPr>
          <w:p>
            <w:pPr>
              <w:spacing w:after="0"/>
              <w:rPr>
                <w:sz w:val="16"/>
                <w:szCs w:val="16"/>
                <w:color w:val="auto"/>
              </w:rPr>
            </w:pPr>
          </w:p>
        </w:tc>
        <w:tc>
          <w:tcPr>
            <w:tcW w:w="1840" w:type="dxa"/>
            <w:vAlign w:val="bottom"/>
            <w:tcBorders>
              <w:top w:val="single" w:sz="8" w:color="auto"/>
            </w:tcBorders>
          </w:tcPr>
          <w:p>
            <w:pPr>
              <w:ind w:left="340"/>
              <w:spacing w:after="0" w:line="191" w:lineRule="exact"/>
              <w:rPr>
                <w:sz w:val="20"/>
                <w:szCs w:val="20"/>
                <w:color w:val="auto"/>
              </w:rPr>
            </w:pPr>
            <w:r>
              <w:rPr>
                <w:rFonts w:ascii="Times New Roman" w:cs="Times New Roman" w:eastAsia="Times New Roman" w:hAnsi="Times New Roman"/>
                <w:sz w:val="18"/>
                <w:szCs w:val="18"/>
                <w:color w:val="auto"/>
              </w:rPr>
              <w:t>Mainland China</w:t>
            </w:r>
          </w:p>
        </w:tc>
      </w:tr>
      <w:tr>
        <w:trPr>
          <w:trHeight w:val="216"/>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Xiaoniu Internet Technology Co., Ltd.</w:t>
            </w:r>
          </w:p>
        </w:tc>
        <w:tc>
          <w:tcPr>
            <w:tcW w:w="180" w:type="dxa"/>
            <w:vAlign w:val="bottom"/>
          </w:tcPr>
          <w:p>
            <w:pPr>
              <w:spacing w:after="0"/>
              <w:rPr>
                <w:sz w:val="18"/>
                <w:szCs w:val="18"/>
                <w:color w:val="auto"/>
              </w:rPr>
            </w:pPr>
          </w:p>
        </w:tc>
        <w:tc>
          <w:tcPr>
            <w:tcW w:w="1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Mainland China</w:t>
            </w:r>
          </w:p>
        </w:tc>
      </w:tr>
      <w:tr>
        <w:trPr>
          <w:trHeight w:val="234"/>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Changzhou Niudian International Trading Technology Co., Ltd.</w:t>
            </w:r>
          </w:p>
        </w:tc>
        <w:tc>
          <w:tcPr>
            <w:tcW w:w="180" w:type="dxa"/>
            <w:vAlign w:val="bottom"/>
          </w:tcPr>
          <w:p>
            <w:pPr>
              <w:spacing w:after="0"/>
              <w:rPr>
                <w:sz w:val="20"/>
                <w:szCs w:val="20"/>
                <w:color w:val="auto"/>
              </w:rPr>
            </w:pPr>
          </w:p>
        </w:tc>
        <w:tc>
          <w:tcPr>
            <w:tcW w:w="1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Mainland China</w:t>
            </w:r>
          </w:p>
        </w:tc>
      </w:tr>
      <w:tr>
        <w:trPr>
          <w:trHeight w:val="777"/>
        </w:trPr>
        <w:tc>
          <w:tcPr>
            <w:tcW w:w="2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Yan Li, certify that:</w:t>
      </w:r>
    </w:p>
    <w:p>
      <w:pPr>
        <w:spacing w:after="0" w:line="225" w:lineRule="exact"/>
        <w:rPr>
          <w:sz w:val="20"/>
          <w:szCs w:val="20"/>
          <w:color w:val="auto"/>
        </w:rPr>
      </w:pPr>
    </w:p>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Niu Technologies;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6" w:lineRule="exact"/>
        <w:rPr>
          <w:sz w:val="20"/>
          <w:szCs w:val="20"/>
          <w:color w:val="auto"/>
        </w:rPr>
      </w:pPr>
    </w:p>
    <w:p>
      <w:pPr>
        <w:jc w:val="both"/>
        <w:ind w:firstLine="656"/>
        <w:spacing w:after="0" w:line="266" w:lineRule="auto"/>
        <w:tabs>
          <w:tab w:leader="none" w:pos="129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29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6" w:lineRule="exact"/>
        <w:rPr>
          <w:sz w:val="20"/>
          <w:szCs w:val="20"/>
          <w:color w:val="auto"/>
        </w:rPr>
      </w:pPr>
    </w:p>
    <w:p>
      <w:pPr>
        <w:jc w:val="both"/>
        <w:ind w:firstLine="656"/>
        <w:spacing w:after="0" w:line="266" w:lineRule="auto"/>
        <w:tabs>
          <w:tab w:leader="none" w:pos="129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6" w:lineRule="exact"/>
        <w:rPr>
          <w:sz w:val="20"/>
          <w:szCs w:val="20"/>
          <w:color w:val="auto"/>
        </w:rPr>
      </w:pPr>
    </w:p>
    <w:p>
      <w:pPr>
        <w:jc w:val="both"/>
        <w:ind w:firstLine="656"/>
        <w:spacing w:after="0" w:line="266" w:lineRule="auto"/>
        <w:tabs>
          <w:tab w:leader="none" w:pos="129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7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April 17, 2026</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Yan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17145</wp:posOffset>
            </wp:positionV>
            <wp:extent cx="35572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80"/>
        <w:spacing w:after="0"/>
        <w:tabs>
          <w:tab w:leader="none" w:pos="12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Yan Li</w:t>
      </w:r>
    </w:p>
    <w:p>
      <w:pPr>
        <w:spacing w:after="0" w:line="23" w:lineRule="exact"/>
        <w:rPr>
          <w:sz w:val="20"/>
          <w:szCs w:val="20"/>
          <w:color w:val="auto"/>
        </w:rPr>
      </w:pPr>
    </w:p>
    <w:p>
      <w:pPr>
        <w:ind w:left="580"/>
        <w:spacing w:after="0"/>
        <w:tabs>
          <w:tab w:leader="none" w:pos="1200" w:val="left"/>
        </w:tabs>
        <w:rPr>
          <w:sz w:val="20"/>
          <w:szCs w:val="20"/>
          <w:color w:val="auto"/>
        </w:rPr>
      </w:pPr>
      <w:r>
        <w:rPr>
          <w:rFonts w:ascii="Times New Roman" w:cs="Times New Roman" w:eastAsia="Times New Roman" w:hAnsi="Times New Roman"/>
          <w:sz w:val="18"/>
          <w:szCs w:val="18"/>
          <w:color w:val="auto"/>
        </w:rPr>
        <w:t>Title:</w:t>
        <w:tab/>
        <w:t>Chairman of the Board of Directors</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Fion Wenjuan Zhou, certify that:</w:t>
      </w:r>
    </w:p>
    <w:p>
      <w:pPr>
        <w:spacing w:after="0" w:line="225" w:lineRule="exact"/>
        <w:rPr>
          <w:sz w:val="20"/>
          <w:szCs w:val="20"/>
          <w:color w:val="auto"/>
        </w:rPr>
      </w:pPr>
    </w:p>
    <w:p>
      <w:pPr>
        <w:ind w:left="1300" w:hanging="644"/>
        <w:spacing w:after="0"/>
        <w:tabs>
          <w:tab w:leader="none" w:pos="1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Niu Technologies;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6" w:lineRule="exact"/>
        <w:rPr>
          <w:sz w:val="20"/>
          <w:szCs w:val="20"/>
          <w:color w:val="auto"/>
        </w:rPr>
      </w:pPr>
    </w:p>
    <w:p>
      <w:pPr>
        <w:jc w:val="both"/>
        <w:ind w:firstLine="656"/>
        <w:spacing w:after="0" w:line="266" w:lineRule="auto"/>
        <w:tabs>
          <w:tab w:leader="none" w:pos="129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29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6" w:lineRule="exact"/>
        <w:rPr>
          <w:sz w:val="20"/>
          <w:szCs w:val="20"/>
          <w:color w:val="auto"/>
        </w:rPr>
      </w:pPr>
    </w:p>
    <w:p>
      <w:pPr>
        <w:jc w:val="both"/>
        <w:ind w:firstLine="656"/>
        <w:spacing w:after="0" w:line="266" w:lineRule="auto"/>
        <w:tabs>
          <w:tab w:leader="none" w:pos="129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6" w:lineRule="exact"/>
        <w:rPr>
          <w:sz w:val="20"/>
          <w:szCs w:val="20"/>
          <w:color w:val="auto"/>
        </w:rPr>
      </w:pPr>
    </w:p>
    <w:p>
      <w:pPr>
        <w:jc w:val="both"/>
        <w:ind w:firstLine="656"/>
        <w:spacing w:after="0" w:line="266" w:lineRule="auto"/>
        <w:tabs>
          <w:tab w:leader="none" w:pos="129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9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 17, 2026</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Fion Wenjuan Zhou</w:t>
            </w:r>
          </w:p>
        </w:tc>
      </w:tr>
      <w:tr>
        <w:trPr>
          <w:trHeight w:val="191"/>
        </w:trPr>
        <w:tc>
          <w:tcPr>
            <w:tcW w:w="580" w:type="dxa"/>
            <w:vAlign w:val="bottom"/>
          </w:tcPr>
          <w:p>
            <w:pPr>
              <w:spacing w:after="0"/>
              <w:rPr>
                <w:sz w:val="16"/>
                <w:szCs w:val="16"/>
                <w:color w:val="auto"/>
              </w:rPr>
            </w:pPr>
          </w:p>
        </w:tc>
        <w:tc>
          <w:tcPr>
            <w:tcW w:w="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Fion Wenjuan Zhou</w:t>
            </w:r>
          </w:p>
        </w:tc>
        <w:tc>
          <w:tcPr>
            <w:tcW w:w="38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8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 and Chief Financial Officer</w:t>
            </w:r>
          </w:p>
        </w:tc>
      </w:tr>
      <w:tr>
        <w:trPr>
          <w:trHeight w:val="776"/>
        </w:trPr>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Niu Technologies (the “Company”) on Form 20-F for the year ended December 31, 2025 as filed with the Securities and Exchange Commission on the date hereof (the “Report”), I, Yan Li, Chief Executive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1300" w:hanging="644"/>
        <w:spacing w:after="0"/>
        <w:tabs>
          <w:tab w:leader="none" w:pos="1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April 17, 2026</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Yan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17145</wp:posOffset>
            </wp:positionV>
            <wp:extent cx="361759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7" w:lineRule="exact"/>
        <w:rPr>
          <w:sz w:val="20"/>
          <w:szCs w:val="20"/>
          <w:color w:val="auto"/>
        </w:rPr>
      </w:pPr>
    </w:p>
    <w:p>
      <w:pPr>
        <w:ind w:left="580"/>
        <w:spacing w:after="0"/>
        <w:tabs>
          <w:tab w:leader="none" w:pos="12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Yan Li</w:t>
      </w:r>
    </w:p>
    <w:p>
      <w:pPr>
        <w:spacing w:after="0" w:line="23" w:lineRule="exact"/>
        <w:rPr>
          <w:sz w:val="20"/>
          <w:szCs w:val="20"/>
          <w:color w:val="auto"/>
        </w:rPr>
      </w:pPr>
    </w:p>
    <w:p>
      <w:pPr>
        <w:ind w:left="580"/>
        <w:spacing w:after="0"/>
        <w:tabs>
          <w:tab w:leader="none" w:pos="1200" w:val="left"/>
        </w:tabs>
        <w:rPr>
          <w:sz w:val="20"/>
          <w:szCs w:val="20"/>
          <w:color w:val="auto"/>
        </w:rPr>
      </w:pPr>
      <w:r>
        <w:rPr>
          <w:rFonts w:ascii="Times New Roman" w:cs="Times New Roman" w:eastAsia="Times New Roman" w:hAnsi="Times New Roman"/>
          <w:sz w:val="18"/>
          <w:szCs w:val="18"/>
          <w:color w:val="auto"/>
        </w:rPr>
        <w:t>Title:</w:t>
        <w:tab/>
        <w:t>Chairman of the Board of Directors</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Niu Technologies (the “Company”) on Form 20-F for the year ended December 31, 2025 as filed with the Securities and Exchange Commission on the date hereof (the “Report”), I, Fion Wenjuan Zhou, Chief Financial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1300" w:hanging="644"/>
        <w:spacing w:after="0"/>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9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 17, 2026</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Fion Wenjuan Zhou</w:t>
            </w:r>
          </w:p>
        </w:tc>
      </w:tr>
      <w:tr>
        <w:trPr>
          <w:trHeight w:val="191"/>
        </w:trPr>
        <w:tc>
          <w:tcPr>
            <w:tcW w:w="580" w:type="dxa"/>
            <w:vAlign w:val="bottom"/>
          </w:tcPr>
          <w:p>
            <w:pPr>
              <w:spacing w:after="0"/>
              <w:rPr>
                <w:sz w:val="16"/>
                <w:szCs w:val="16"/>
                <w:color w:val="auto"/>
              </w:rPr>
            </w:pPr>
          </w:p>
        </w:tc>
        <w:tc>
          <w:tcPr>
            <w:tcW w:w="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22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Fion Wenjuan Zhou</w:t>
            </w:r>
          </w:p>
        </w:tc>
        <w:tc>
          <w:tcPr>
            <w:tcW w:w="356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8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 and Chief Financial Officer</w:t>
            </w:r>
          </w:p>
        </w:tc>
      </w:tr>
      <w:tr>
        <w:trPr>
          <w:trHeight w:val="776"/>
        </w:trPr>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333-229190 and 333-278892) on Form S-8 of our reports dated April 17, 2026, with respect to the consolidated financial statements of Niu Technologies and the effectiveness of internal control over financial reporting.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Huazhen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20611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China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17,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Niu Technologies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23/F, Building C, Rongxin Technology Center,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34 Chuangyuan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Chaoyang District, Beijing 100012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hereby consent to the use of our name and the summary of our opinion under the headings, “Item 3. Key Information—D. Risk Factors—Risks Related to Our Corporate Structure” and “Item 4. Information on the Company—C. Organizational Structure”, included in Niu Technologies’ Annual Report on Form 20-F for the year ended December 31, 2025 (“Annual Report”), which will be filed with the Securities and Exchange Commission (“SEC”) in the month of April 2026, and further consent to the incorporation by reference into the Registration Statement (Form S-8 Nos. 333-229190 and 333-278892) pertaining to Niu Technologies’ Amended and Restated 2016 Global Share Incentive Plan and 2018 Share Incentive Plan. We also consent to the filing of this consent letter with the SEC as an exhibit to the Annual Report.</w:t>
      </w:r>
    </w:p>
    <w:p>
      <w:pPr>
        <w:spacing w:after="0" w:line="18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giving such consent, we do not hereby admit that we come within the category of persons whose consent is required under Section 7 of the Securities Act of 1933, or under the Securities Exchange Act of 1934, in each case, as amended, or the regulations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DaHui Lawyers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DaHui Lawyers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1)"/>
      <w:numFmt w:val="decimal"/>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1)"/>
      <w:numFmt w:val="decimal"/>
      <w:start w:val="1"/>
    </w:lvl>
  </w:abstractNum>
  <w:abstractNum w:abstractNumId="11">
    <w:nsid w:val="520EEDD1"/>
    <w:multiLevelType w:val="hybridMultilevel"/>
    <w:lvl w:ilvl="0">
      <w:lvlJc w:val="left"/>
      <w:lvlText w:val="%1."/>
      <w:numFmt w:val="upperLetter"/>
      <w:start w:val="1"/>
    </w:lvl>
  </w:abstractNum>
  <w:abstractNum w:abstractNumId="12">
    <w:nsid w:val="374A3FE6"/>
    <w:multiLevelType w:val="hybridMultilevel"/>
    <w:lvl w:ilvl="0">
      <w:lvlJc w:val="left"/>
      <w:lvlText w:val="%1."/>
      <w:numFmt w:val="upperLetter"/>
      <w:start w:val="3"/>
    </w:lvl>
  </w:abstractNum>
  <w:abstractNum w:abstractNumId="13">
    <w:nsid w:val="4F4EF005"/>
    <w:multiLevelType w:val="hybridMultilevel"/>
    <w:lvl w:ilvl="0">
      <w:lvlJc w:val="left"/>
      <w:lvlText w:val="%1."/>
      <w:numFmt w:val="upperLetter"/>
      <w:start w:val="4"/>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1)"/>
      <w:numFmt w:val="lowerRoman"/>
      <w:start w:val="3"/>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1)"/>
      <w:numFmt w:val="lowerRoman"/>
      <w:start w:val="3"/>
    </w:lvl>
  </w:abstractNum>
  <w:abstractNum w:abstractNumId="32">
    <w:nsid w:val="310C50B3"/>
    <w:multiLevelType w:val="hybridMultilevel"/>
    <w:lvl w:ilvl="0">
      <w:lvlJc w:val="left"/>
      <w:lvlText w:val="(%1)"/>
      <w:numFmt w:val="decimal"/>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1."/>
      <w:numFmt w:val="upperLetter"/>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1)"/>
      <w:numFmt w:val="decimal"/>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1)"/>
      <w:numFmt w:val="decimal"/>
      <w:start w:val="1"/>
    </w:lvl>
  </w:abstractNum>
  <w:abstractNum w:abstractNumId="40">
    <w:nsid w:val="5DB70AE5"/>
    <w:multiLevelType w:val="hybridMultilevel"/>
    <w:lvl w:ilvl="0">
      <w:lvlJc w:val="left"/>
      <w:lvlText w:val="%1."/>
      <w:numFmt w:val="upperLetter"/>
      <w:start w:val="2"/>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1)"/>
      <w:numFmt w:val="lowerRoman"/>
      <w:start w:val="4"/>
    </w:lvl>
  </w:abstractNum>
  <w:abstractNum w:abstractNumId="44">
    <w:nsid w:val="5F5E7FD0"/>
    <w:multiLevelType w:val="hybridMultilevel"/>
    <w:lvl w:ilvl="0">
      <w:lvlJc w:val="left"/>
      <w:lvlText w:val="%1."/>
      <w:numFmt w:val="upperLetter"/>
      <w:start w:val="3"/>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1)"/>
      <w:numFmt w:val="lowerRoman"/>
      <w:start w:val="1"/>
    </w:lvl>
  </w:abstractNum>
  <w:abstractNum w:abstractNumId="51">
    <w:nsid w:val="661E3F1E"/>
    <w:multiLevelType w:val="hybridMultilevel"/>
    <w:lvl w:ilvl="0">
      <w:lvlJc w:val="left"/>
      <w:lvlText w:val="(%1)"/>
      <w:numFmt w:val="lowerRoman"/>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1."/>
      <w:numFmt w:val="upperLetter"/>
      <w:start w:val="6"/>
    </w:lvl>
  </w:abstractNum>
  <w:abstractNum w:abstractNumId="56">
    <w:nsid w:val="613EFDC5"/>
    <w:multiLevelType w:val="hybridMultilevel"/>
    <w:lvl w:ilvl="0">
      <w:lvlJc w:val="left"/>
      <w:lvlText w:val="%1."/>
      <w:numFmt w:val="upperLetter"/>
      <w:start w:val="6"/>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
      <w:numFmt w:val="bullet"/>
      <w:start w:val="1"/>
    </w:lvl>
  </w:abstractNum>
  <w:abstractNum w:abstractNumId="63">
    <w:nsid w:val="3B0FD379"/>
    <w:multiLevelType w:val="hybridMultilevel"/>
    <w:lvl w:ilvl="0">
      <w:lvlJc w:val="left"/>
      <w:lvlText w:val="●"/>
      <w:numFmt w:val="bullet"/>
      <w:start w:val="1"/>
    </w:lvl>
  </w:abstractNum>
  <w:abstractNum w:abstractNumId="64">
    <w:nsid w:val="68EB2F63"/>
    <w:multiLevelType w:val="hybridMultilevel"/>
    <w:lvl w:ilvl="0">
      <w:lvlJc w:val="left"/>
      <w:lvlText w:val="●"/>
      <w:numFmt w:val="bullet"/>
      <w:start w:val="1"/>
    </w:lvl>
  </w:abstractNum>
  <w:abstractNum w:abstractNumId="65">
    <w:nsid w:val="4962813B"/>
    <w:multiLevelType w:val="hybridMultilevel"/>
    <w:lvl w:ilvl="0">
      <w:lvlJc w:val="left"/>
      <w:lvlText w:val="(%1)"/>
      <w:numFmt w:val="lowerLetter"/>
      <w:start w:val="1"/>
    </w:lvl>
  </w:abstractNum>
  <w:abstractNum w:abstractNumId="66">
    <w:nsid w:val="60B6DF70"/>
    <w:multiLevelType w:val="hybridMultilevel"/>
    <w:lvl w:ilvl="0">
      <w:lvlJc w:val="left"/>
      <w:lvlText w:val="●"/>
      <w:numFmt w:val="bullet"/>
      <w:start w:val="1"/>
    </w:lvl>
  </w:abstractNum>
  <w:abstractNum w:abstractNumId="67">
    <w:nsid w:val="6A5EE64"/>
    <w:multiLevelType w:val="hybridMultilevel"/>
    <w:lvl w:ilvl="0">
      <w:lvlJc w:val="left"/>
      <w:lvlText w:val="●"/>
      <w:numFmt w:val="bullet"/>
      <w:start w:val="1"/>
    </w:lvl>
  </w:abstractNum>
  <w:abstractNum w:abstractNumId="68">
    <w:nsid w:val="14330624"/>
    <w:multiLevelType w:val="hybridMultilevel"/>
    <w:lvl w:ilvl="0">
      <w:lvlJc w:val="left"/>
      <w:lvlText w:val="●"/>
      <w:numFmt w:val="bullet"/>
      <w:start w:val="1"/>
    </w:lvl>
  </w:abstractNum>
  <w:abstractNum w:abstractNumId="69">
    <w:nsid w:val="7FFFCA11"/>
    <w:multiLevelType w:val="hybridMultilevel"/>
    <w:lvl w:ilvl="0">
      <w:lvlJc w:val="left"/>
      <w:lvlText w:val="●"/>
      <w:numFmt w:val="bullet"/>
      <w:start w:val="1"/>
    </w:lvl>
  </w:abstractNum>
  <w:abstractNum w:abstractNumId="70">
    <w:nsid w:val="1A27709E"/>
    <w:multiLevelType w:val="hybridMultilevel"/>
    <w:lvl w:ilvl="0">
      <w:lvlJc w:val="left"/>
      <w:lvlText w:val="%1."/>
      <w:numFmt w:val="upperLetter"/>
      <w:start w:val="6"/>
    </w:lvl>
  </w:abstractNum>
  <w:abstractNum w:abstractNumId="71">
    <w:nsid w:val="71EA1109"/>
    <w:multiLevelType w:val="hybridMultilevel"/>
    <w:lvl w:ilvl="0">
      <w:lvlJc w:val="left"/>
      <w:lvlText w:val="%1."/>
      <w:numFmt w:val="upperLetter"/>
      <w:start w:val="9"/>
    </w:lvl>
  </w:abstractNum>
  <w:abstractNum w:abstractNumId="72">
    <w:nsid w:val="100F59DC"/>
    <w:multiLevelType w:val="hybridMultilevel"/>
    <w:lvl w:ilvl="0">
      <w:lvlJc w:val="left"/>
      <w:lvlText w:val="%1."/>
      <w:numFmt w:val="upperLetter"/>
      <w:start w:val="10"/>
    </w:lvl>
  </w:abstractNum>
  <w:abstractNum w:abstractNumId="73">
    <w:nsid w:val="7FB7E0AA"/>
    <w:multiLevelType w:val="hybridMultilevel"/>
    <w:lvl w:ilvl="0">
      <w:lvlJc w:val="left"/>
      <w:lvlText w:val="●"/>
      <w:numFmt w:val="bullet"/>
      <w:start w:val="1"/>
    </w:lvl>
  </w:abstractNum>
  <w:abstractNum w:abstractNumId="74">
    <w:nsid w:val="6EB5BD4"/>
    <w:multiLevelType w:val="hybridMultilevel"/>
    <w:lvl w:ilvl="0">
      <w:lvlJc w:val="left"/>
      <w:lvlText w:val="(%1)"/>
      <w:numFmt w:val="decimal"/>
      <w:start w:val="1"/>
    </w:lvl>
  </w:abstractNum>
  <w:abstractNum w:abstractNumId="75">
    <w:nsid w:val="6F6DD9AC"/>
    <w:multiLevelType w:val="hybridMultilevel"/>
    <w:lvl w:ilvl="0">
      <w:lvlJc w:val="left"/>
      <w:lvlText w:val="%1"/>
      <w:numFmt w:val="decimal"/>
      <w:start w:val="97"/>
    </w:lvl>
  </w:abstractNum>
  <w:abstractNum w:abstractNumId="76">
    <w:nsid w:val="94211F2"/>
    <w:multiLevelType w:val="hybridMultilevel"/>
    <w:lvl w:ilvl="0">
      <w:lvlJc w:val="left"/>
      <w:lvlText w:val="*"/>
      <w:numFmt w:val="bullet"/>
      <w:start w:val="1"/>
    </w:lvl>
  </w:abstractNum>
  <w:abstractNum w:abstractNumId="77">
    <w:nsid w:val="885E1B"/>
    <w:multiLevelType w:val="hybridMultilevel"/>
    <w:lvl w:ilvl="0">
      <w:lvlJc w:val="left"/>
      <w:lvlText w:val="**"/>
      <w:numFmt w:val="bullet"/>
      <w:start w:val="1"/>
    </w:lvl>
  </w:abstractNum>
  <w:abstractNum w:abstractNumId="78">
    <w:nsid w:val="76272110"/>
    <w:multiLevelType w:val="hybridMultilevel"/>
    <w:lvl w:ilvl="0">
      <w:lvlJc w:val="left"/>
      <w:lvlText w:val="●"/>
      <w:numFmt w:val="bullet"/>
      <w:start w:val="1"/>
    </w:lvl>
  </w:abstractNum>
  <w:abstractNum w:abstractNumId="79">
    <w:nsid w:val="4C04A8AF"/>
    <w:multiLevelType w:val="hybridMultilevel"/>
    <w:lvl w:ilvl="0">
      <w:lvlJc w:val="left"/>
      <w:lvlText w:val="(%1)"/>
      <w:numFmt w:val="lowerLetter"/>
      <w:start w:val="12"/>
    </w:lvl>
  </w:abstractNum>
  <w:abstractNum w:abstractNumId="80">
    <w:nsid w:val="1716703B"/>
    <w:multiLevelType w:val="hybridMultilevel"/>
    <w:lvl w:ilvl="0">
      <w:lvlJc w:val="left"/>
      <w:lvlText w:val="(%1)"/>
      <w:numFmt w:val="decimal"/>
      <w:start w:val="2"/>
    </w:lvl>
  </w:abstractNum>
  <w:abstractNum w:abstractNumId="81">
    <w:nsid w:val="14E17E33"/>
    <w:multiLevelType w:val="hybridMultilevel"/>
    <w:lvl w:ilvl="0">
      <w:lvlJc w:val="left"/>
      <w:lvlText w:val="(%1)"/>
      <w:numFmt w:val="lowerLetter"/>
      <w:start w:val="26"/>
    </w:lvl>
  </w:abstractNum>
  <w:abstractNum w:abstractNumId="82">
    <w:nsid w:val="3222E7CD"/>
    <w:multiLevelType w:val="hybridMultilevel"/>
    <w:lvl w:ilvl="0">
      <w:lvlJc w:val="left"/>
      <w:lvlText w:val="*"/>
      <w:numFmt w:val="bullet"/>
      <w:start w:val="1"/>
    </w:lvl>
  </w:abstractNum>
  <w:abstractNum w:abstractNumId="83">
    <w:nsid w:val="74DE0EE3"/>
    <w:multiLevelType w:val="hybridMultilevel"/>
    <w:lvl w:ilvl="0">
      <w:lvlJc w:val="left"/>
      <w:lvlText w:val="%1)"/>
      <w:numFmt w:val="lowerLetter"/>
      <w:start w:val="1"/>
    </w:lvl>
  </w:abstractNum>
  <w:abstractNum w:abstractNumId="84">
    <w:nsid w:val="68EBC550"/>
    <w:multiLevelType w:val="hybridMultilevel"/>
    <w:lvl w:ilvl="0">
      <w:lvlJc w:val="left"/>
      <w:lvlText w:val="%1)"/>
      <w:numFmt w:val="lowerLetter"/>
      <w:start w:val="2"/>
    </w:lvl>
  </w:abstractNum>
  <w:abstractNum w:abstractNumId="85">
    <w:nsid w:val="2DF6D648"/>
    <w:multiLevelType w:val="hybridMultilevel"/>
    <w:lvl w:ilvl="0">
      <w:lvlJc w:val="left"/>
      <w:lvlText w:val="%1."/>
      <w:numFmt w:val="decimal"/>
      <w:start w:val="1"/>
    </w:lvl>
  </w:abstractNum>
  <w:abstractNum w:abstractNumId="86">
    <w:nsid w:val="46B7D447"/>
    <w:multiLevelType w:val="hybridMultilevel"/>
    <w:lvl w:ilvl="0">
      <w:lvlJc w:val="left"/>
      <w:lvlText w:val="(%1)"/>
      <w:numFmt w:val="lowerLetter"/>
      <w:start w:val="1"/>
    </w:lvl>
  </w:abstractNum>
  <w:abstractNum w:abstractNumId="87">
    <w:nsid w:val="4A2AC315"/>
    <w:multiLevelType w:val="hybridMultilevel"/>
    <w:lvl w:ilvl="0">
      <w:lvlJc w:val="left"/>
      <w:lvlText w:val="%1."/>
      <w:numFmt w:val="decimal"/>
      <w:start w:val="5"/>
    </w:lvl>
  </w:abstractNum>
  <w:abstractNum w:abstractNumId="88">
    <w:nsid w:val="39EE015C"/>
    <w:multiLevelType w:val="hybridMultilevel"/>
    <w:lvl w:ilvl="0">
      <w:lvlJc w:val="left"/>
      <w:lvlText w:val="(%1)"/>
      <w:numFmt w:val="lowerLetter"/>
      <w:start w:val="1"/>
    </w:lvl>
  </w:abstractNum>
  <w:abstractNum w:abstractNumId="89">
    <w:nsid w:val="57FC4FBB"/>
    <w:multiLevelType w:val="hybridMultilevel"/>
    <w:lvl w:ilvl="0">
      <w:lvlJc w:val="left"/>
      <w:lvlText w:val="%1."/>
      <w:numFmt w:val="decimal"/>
      <w:start w:val="1"/>
    </w:lvl>
  </w:abstractNum>
  <w:abstractNum w:abstractNumId="90">
    <w:nsid w:val="CC1016F"/>
    <w:multiLevelType w:val="hybridMultilevel"/>
    <w:lvl w:ilvl="0">
      <w:lvlJc w:val="left"/>
      <w:lvlText w:val="(%1)"/>
      <w:numFmt w:val="lowerLetter"/>
      <w:start w:val="1"/>
    </w:lvl>
  </w:abstractNum>
  <w:abstractNum w:abstractNumId="91">
    <w:nsid w:val="43F18422"/>
    <w:multiLevelType w:val="hybridMultilevel"/>
    <w:lvl w:ilvl="0">
      <w:lvlJc w:val="left"/>
      <w:lvlText w:val="%1."/>
      <w:numFmt w:val="decimal"/>
      <w:start w:val="5"/>
    </w:lvl>
  </w:abstractNum>
  <w:abstractNum w:abstractNumId="92">
    <w:nsid w:val="60EF0119"/>
    <w:multiLevelType w:val="hybridMultilevel"/>
    <w:lvl w:ilvl="0">
      <w:lvlJc w:val="left"/>
      <w:lvlText w:val="(%1)"/>
      <w:numFmt w:val="lowerLetter"/>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81" Type="http://schemas.openxmlformats.org/officeDocument/2006/relationships/image" Target="media/image155.png"/><Relationship Id="rId182" Type="http://schemas.openxmlformats.org/officeDocument/2006/relationships/image" Target="media/image156.png"/><Relationship Id="rId183" Type="http://schemas.openxmlformats.org/officeDocument/2006/relationships/image" Target="media/image157.png"/><Relationship Id="rId184" Type="http://schemas.openxmlformats.org/officeDocument/2006/relationships/image" Target="media/image158.png"/><Relationship Id="rId185" Type="http://schemas.openxmlformats.org/officeDocument/2006/relationships/image" Target="media/image159.png"/><Relationship Id="rId186" Type="http://schemas.openxmlformats.org/officeDocument/2006/relationships/image" Target="media/image160.png"/><Relationship Id="rId187" Type="http://schemas.openxmlformats.org/officeDocument/2006/relationships/image" Target="media/image161.png"/><Relationship Id="rId188" Type="http://schemas.openxmlformats.org/officeDocument/2006/relationships/image" Target="media/image162.png"/><Relationship Id="rId189" Type="http://schemas.openxmlformats.org/officeDocument/2006/relationships/image" Target="media/image163.png"/><Relationship Id="rId190" Type="http://schemas.openxmlformats.org/officeDocument/2006/relationships/image" Target="media/image164.png"/><Relationship Id="rId191" Type="http://schemas.openxmlformats.org/officeDocument/2006/relationships/image" Target="media/image165.png"/><Relationship Id="rId192" Type="http://schemas.openxmlformats.org/officeDocument/2006/relationships/image" Target="media/image166.png"/><Relationship Id="rId193" Type="http://schemas.openxmlformats.org/officeDocument/2006/relationships/image" Target="media/image167.png"/><Relationship Id="rId194" Type="http://schemas.openxmlformats.org/officeDocument/2006/relationships/image" Target="media/image168.png"/><Relationship Id="rId195" Type="http://schemas.openxmlformats.org/officeDocument/2006/relationships/image" Target="media/image169.png"/><Relationship Id="rId196" Type="http://schemas.openxmlformats.org/officeDocument/2006/relationships/image" Target="media/image170.png"/><Relationship Id="rId197"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201" Type="http://schemas.openxmlformats.org/officeDocument/2006/relationships/image" Target="media/image175.png"/><Relationship Id="rId202" Type="http://schemas.openxmlformats.org/officeDocument/2006/relationships/image" Target="media/image176.png"/><Relationship Id="rId203" Type="http://schemas.openxmlformats.org/officeDocument/2006/relationships/image" Target="media/image177.png"/><Relationship Id="rId204" Type="http://schemas.openxmlformats.org/officeDocument/2006/relationships/image" Target="media/image178.png"/><Relationship Id="rId205" Type="http://schemas.openxmlformats.org/officeDocument/2006/relationships/image" Target="media/image179.png"/><Relationship Id="rId206" Type="http://schemas.openxmlformats.org/officeDocument/2006/relationships/image" Target="media/image180.png"/><Relationship Id="rId207" Type="http://schemas.openxmlformats.org/officeDocument/2006/relationships/image" Target="media/image181.png"/><Relationship Id="rId208" Type="http://schemas.openxmlformats.org/officeDocument/2006/relationships/image" Target="media/image182.png"/><Relationship Id="rId209" Type="http://schemas.openxmlformats.org/officeDocument/2006/relationships/image" Target="media/image183.png"/><Relationship Id="rId210" Type="http://schemas.openxmlformats.org/officeDocument/2006/relationships/image" Target="media/image184.png"/><Relationship Id="rId211" Type="http://schemas.openxmlformats.org/officeDocument/2006/relationships/image" Target="media/image185.png"/><Relationship Id="rId212" Type="http://schemas.openxmlformats.org/officeDocument/2006/relationships/image" Target="media/image186.png"/><Relationship Id="rId213" Type="http://schemas.openxmlformats.org/officeDocument/2006/relationships/image" Target="media/image187.png"/><Relationship Id="rId214" Type="http://schemas.openxmlformats.org/officeDocument/2006/relationships/image" Target="media/image188.png"/><Relationship Id="rId215" Type="http://schemas.openxmlformats.org/officeDocument/2006/relationships/image" Target="media/image189.png"/><Relationship Id="rId216" Type="http://schemas.openxmlformats.org/officeDocument/2006/relationships/image" Target="media/image190.png"/><Relationship Id="rId217" Type="http://schemas.openxmlformats.org/officeDocument/2006/relationships/image" Target="media/image191.pn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225" Type="http://schemas.openxmlformats.org/officeDocument/2006/relationships/image" Target="media/image199.png"/><Relationship Id="rId226" Type="http://schemas.openxmlformats.org/officeDocument/2006/relationships/image" Target="media/image200.png"/><Relationship Id="rId162" Type="http://schemas.openxmlformats.org/officeDocument/2006/relationships/hyperlink" Target="https://www.sec.gov/Archives/edgar/data/1744781/000104746918006361/a2236573zex-3_2.htm" TargetMode="External"/><Relationship Id="rId163" Type="http://schemas.openxmlformats.org/officeDocument/2006/relationships/hyperlink" Target="https://www.sec.gov/Archives/edgar/data/1744781/000104746918006361/a2236573zex-4_3.htm" TargetMode="External"/><Relationship Id="rId164" Type="http://schemas.openxmlformats.org/officeDocument/2006/relationships/hyperlink" Target="https://www.sec.gov/Archives/edgar/data/1744781/000104746918006623/a2236786zex-4_2.htm" TargetMode="External"/><Relationship Id="rId165" Type="http://schemas.openxmlformats.org/officeDocument/2006/relationships/hyperlink" Target="https://www.sec.gov/Archives/edgar/data/1744781/000110465919001531/a19-2267_1ex4d3.htm" TargetMode="External"/><Relationship Id="rId166" Type="http://schemas.openxmlformats.org/officeDocument/2006/relationships/hyperlink" Target="https://www.sec.gov/Archives/edgar/data/1744781/000110465920050585/a19-28358_1ex2d5.htm" TargetMode="External"/><Relationship Id="rId167" Type="http://schemas.openxmlformats.org/officeDocument/2006/relationships/hyperlink" Target="https://www.sec.gov/Archives/edgar/data/1744781/000110465920050585/a19-28358_1ex2d6.htm" TargetMode="External"/><Relationship Id="rId168" Type="http://schemas.openxmlformats.org/officeDocument/2006/relationships/hyperlink" Target="https://www.sec.gov/Archives/edgar/data/1744781/000104746918006361/a2236573zex-10_1.htm" TargetMode="External"/><Relationship Id="rId169" Type="http://schemas.openxmlformats.org/officeDocument/2006/relationships/hyperlink" Target="https://www.sec.gov/Archives/edgar/data/1744781/000104746918006361/a2236573zex-10_2.htm" TargetMode="External"/><Relationship Id="rId170" Type="http://schemas.openxmlformats.org/officeDocument/2006/relationships/hyperlink" Target="https://www.sec.gov/Archives/edgar/data/1744781/000104746918006361/a2236573zex-10_4.htm" TargetMode="External"/><Relationship Id="rId171" Type="http://schemas.openxmlformats.org/officeDocument/2006/relationships/hyperlink" Target="https://www.sec.gov/Archives/edgar/data/1744781/000104746918006361/a2236573zex-10_3.htm" TargetMode="External"/><Relationship Id="rId172" Type="http://schemas.openxmlformats.org/officeDocument/2006/relationships/hyperlink" Target="https://www.sec.gov/Archives/edgar/data/1744781/000104746918006361/a2236573zex-10_7.htm" TargetMode="External"/><Relationship Id="rId173" Type="http://schemas.openxmlformats.org/officeDocument/2006/relationships/hyperlink" Target="https://www.sec.gov/Archives/edgar/data/1744781/000104746918006361/a2236573zex-10_12.htm" TargetMode="External"/><Relationship Id="rId174" Type="http://schemas.openxmlformats.org/officeDocument/2006/relationships/hyperlink" Target="https://www.sec.gov/Archives/edgar/data/1744781/000110465919023545/a19-6256_1ex4d13.htm" TargetMode="External"/><Relationship Id="rId175" Type="http://schemas.openxmlformats.org/officeDocument/2006/relationships/hyperlink" Target="https://www.sec.gov/Archives/edgar/data/1744781/000141057825000798/niu-20241231xex4d9.htm" TargetMode="External"/><Relationship Id="rId176" Type="http://schemas.openxmlformats.org/officeDocument/2006/relationships/hyperlink" Target="https://www.sec.gov/Archives/edgar/data/1744781/000141057825000798/niu-20241231xex4d10.htm" TargetMode="External"/><Relationship Id="rId177" Type="http://schemas.openxmlformats.org/officeDocument/2006/relationships/hyperlink" Target="https://www.sec.gov/Archives/edgar/data/1744781/000141057825000798/niu-20241231xex4d11.htm" TargetMode="External"/><Relationship Id="rId178" Type="http://schemas.openxmlformats.org/officeDocument/2006/relationships/hyperlink" Target="https://www.sec.gov/Archives/edgar/data/1744781/000104746918006361/a2236573zex-99_1.htm" TargetMode="External"/><Relationship Id="rId179" Type="http://schemas.openxmlformats.org/officeDocument/2006/relationships/hyperlink" Target="https://www.sec.gov/Archives/edgar/data/1744781/000141057825000798/niu-20241231xex11d2.htm" TargetMode="External"/><Relationship Id="rId180" Type="http://schemas.openxmlformats.org/officeDocument/2006/relationships/hyperlink" Target="https://www.sec.gov/Archives/edgar/data/1744781/000110465924050776/niu-20231231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2026-04-17T05:26:11Z</dcterms:created>
  <dcterms:modified xsi:type="dcterms:W3CDTF">2026-04-17T05:26:11Z</dcterms:modified>
</cp:coreProperties>
</file>