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5370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7019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Zhou Fion Wenjuan</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82" w:lineRule="auto"/>
        <w:rPr>
          <w:sz w:val="20"/>
          <w:szCs w:val="20"/>
          <w:color w:val="auto"/>
        </w:rPr>
      </w:pPr>
      <w:r>
        <w:rPr>
          <w:rFonts w:ascii="Times New Roman" w:cs="Times New Roman" w:eastAsia="Times New Roman" w:hAnsi="Times New Roman"/>
          <w:sz w:val="17"/>
          <w:szCs w:val="17"/>
          <w:color w:val="0000FF"/>
        </w:rPr>
        <w:t>23F BUILDING C RONGXIN TECHNOLOGY CENTER</w:t>
      </w:r>
    </w:p>
    <w:p>
      <w:pPr>
        <w:spacing w:after="0" w:line="8" w:lineRule="exact"/>
        <w:rPr>
          <w:sz w:val="24"/>
          <w:szCs w:val="24"/>
          <w:color w:val="auto"/>
        </w:rPr>
      </w:pPr>
    </w:p>
    <w:p>
      <w:pPr>
        <w:ind w:left="120" w:right="20"/>
        <w:spacing w:after="0" w:line="282" w:lineRule="auto"/>
        <w:rPr>
          <w:sz w:val="20"/>
          <w:szCs w:val="20"/>
          <w:color w:val="auto"/>
        </w:rPr>
      </w:pPr>
      <w:r>
        <w:rPr>
          <w:rFonts w:ascii="Times New Roman" w:cs="Times New Roman" w:eastAsia="Times New Roman" w:hAnsi="Times New Roman"/>
          <w:sz w:val="17"/>
          <w:szCs w:val="17"/>
          <w:color w:val="0000FF"/>
        </w:rPr>
        <w:t>NO. 34 CHUANGYUAN ROAD CHAOYANG DISTRICT</w:t>
      </w: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9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8"/>
        </w:trPr>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BEIJING</w:t>
            </w:r>
          </w:p>
        </w:tc>
        <w:tc>
          <w:tcPr>
            <w:tcW w:w="10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F4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100012</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382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Niu Technologies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NIU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340" w:type="dxa"/>
            <w:vAlign w:val="bottom"/>
            <w:tcBorders>
              <w:top w:val="single" w:sz="8" w:color="0000EE"/>
            </w:tcBorders>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92"/>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09"/>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r>
      <w:tr>
        <w:trPr>
          <w:trHeight w:val="23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20"/>
                <w:szCs w:val="20"/>
                <w:color w:val="auto"/>
              </w:rPr>
            </w:pPr>
          </w:p>
        </w:tc>
        <w:tc>
          <w:tcPr>
            <w:tcW w:w="31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r>
      <w:tr>
        <w:trPr>
          <w:trHeight w:val="218"/>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03/15/2026</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9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400" w:space="440"/>
            <w:col w:w="7240"/>
          </w:cols>
          <w:pgMar w:left="460" w:top="216" w:right="359" w:bottom="1440" w:gutter="0" w:footer="0" w:header="0"/>
          <w:type w:val="continuous"/>
        </w:sectPr>
      </w:pPr>
    </w:p>
    <w:p>
      <w:pPr>
        <w:spacing w:after="0" w:line="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03/15/2026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45,000</w:t>
            </w:r>
            <w:r>
              <w:rPr>
                <w:rFonts w:ascii="Times New Roman" w:cs="Times New Roman" w:eastAsia="Times New Roman" w:hAnsi="Times New Roman"/>
                <w:sz w:val="21"/>
                <w:szCs w:val="21"/>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164,284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03/16/2026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7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22,113</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3.4841</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142,171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03/15/2026</w:t>
            </w:r>
          </w:p>
        </w:tc>
        <w:tc>
          <w:tcPr>
            <w:tcW w:w="1100" w:type="dxa"/>
            <w:vAlign w:val="bottom"/>
          </w:tcPr>
          <w:p>
            <w:pPr>
              <w:spacing w:after="0"/>
              <w:rPr>
                <w:sz w:val="5"/>
                <w:szCs w:val="5"/>
                <w:color w:val="auto"/>
              </w:rPr>
            </w:pPr>
          </w:p>
        </w:tc>
        <w:tc>
          <w:tcPr>
            <w:tcW w:w="6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6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90,000</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-2021840</wp:posOffset>
            </wp:positionV>
            <wp:extent cx="29210" cy="2026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69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two (2) Class A ordinary shares, with a par value of US$0.0001 per share, of Niu Technologies (the "Company").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90,000 Class A ordinary shares of the Company received in the form of ADSs upon vesting of the 90,000 restricted share units granted to the reporting person on March 15, 2022. See footnote 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(1) Class A ordinary shares of the Company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22,113 ADSs solely to satisfy tax obligations incurred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90,000 RSUs were granted to the reporting person pursuant to the Company's 2018 Share Incentive Plan (the "2018 Plan") on March 15, 2022, and vested on March 15, 2026.</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Fion Wenjuan Zhou</w:t>
            </w:r>
          </w:p>
        </w:tc>
        <w:tc>
          <w:tcPr>
            <w:tcW w:w="6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03/17/2026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8457" TargetMode="External"/><Relationship Id="rId14" Type="http://schemas.openxmlformats.org/officeDocument/2006/relationships/hyperlink" Target="http://www.sec.gov/cgi-bin/browse-edgar?action=getcompany&amp;CIK=000174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2026-03-17T08:07:32Z</dcterms:created>
  <dcterms:modified xsi:type="dcterms:W3CDTF">2026-03-17T08:07:32Z</dcterms:modified>
</cp:coreProperties>
</file>