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739d1_6k.htm"/>
      <w:bookmarkStart w:id="1" w:name="kstm261973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001-38696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NIU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23/F, Building C, Rongxin Technology Center,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34 Chuangyuan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19739d1_ex99-1.htm">
        <w:r>
          <w:rPr>
            <w:rStyle w:val="InternetLink"/>
            <w:rFonts w:ascii="Times New Roman;Times;Serif" w:hAnsi="Times New Roman;Times;Serif"/>
            <w:b w:val="false"/>
            <w:i w:val="false"/>
            <w:caps w:val="false"/>
            <w:smallCaps w:val="false"/>
            <w:sz w:val="20"/>
          </w:rPr>
          <w:t>Exhibit 99.1—Press Release</w:t>
        </w:r>
      </w:hyperlink>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75"/>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NIU TECHNOLOGIES</w:t>
            </w:r>
          </w:p>
        </w:tc>
      </w:tr>
    </w:tbl>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Fion Zhou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Fion Zhou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619739d1_ex99-1.htm"/>
      <w:bookmarkStart w:id="3" w:name="kstm2619739d1_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Niu Technologies Provides Second Quarter 2026 Sales Volume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July 3, 2026 – Niu Technologies (“NIU” or “the Company”) (NASDAQ: NIU), the world’s leading provider of smart urban mobility solutions, today provided its sales volume results for the second quarter of 2026.</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790"/>
        <w:gridCol w:w="60"/>
        <w:gridCol w:w="60"/>
        <w:gridCol w:w="695"/>
        <w:gridCol w:w="60"/>
        <w:gridCol w:w="60"/>
        <w:gridCol w:w="60"/>
        <w:gridCol w:w="695"/>
        <w:gridCol w:w="60"/>
        <w:gridCol w:w="60"/>
        <w:gridCol w:w="60"/>
        <w:gridCol w:w="695"/>
        <w:gridCol w:w="60"/>
        <w:gridCol w:w="60"/>
        <w:gridCol w:w="60"/>
        <w:gridCol w:w="695"/>
        <w:gridCol w:w="75"/>
      </w:tblGrid>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1H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1H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Market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402,202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318,719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650,140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501,784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Markets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434,687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350,090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696,311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553,403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2026, NIU sold 434,687 units, including e-motorcycles, e-mopeds, e-bicycles, kick-scooters and e-bikes. Sales in the China and international markets were 402,202 and 32,485 units,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sales volume increased by over 25% year-over-year, driven by continued demand for our core models and recent new product launches. During the quarter, we continued to advance our intelligent mobility strategy through deeper ecosystem collaboration with leading technology companies, integrating AI-enabled riding features into more practical riding scenarios and further strengthening the smart riding experience. Our NX 2026 model, positioned as a preferred long-range electric motorcycle, resonated strongly with consumers, reflecting market recognition of its real-world range and overall value proposition.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overseas markets, we maintained a disciplined operating approach amid an uneven external environment, with a continued focus on improving operational efficiency and prioritizing key markets to support sustainable long-term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volume count disclosed above is based on the delivery from our manufacturing facility, which may vary slightly from the sales volume measured from a financial accounting and reporting point of view. NIU’s sales volume represents only one measure of the Company’s financial performance and should not be relied upon as an indicator of quarterly financial results, which depend on a variety of factors, including revenues from accessories, spare parts and services, cost of sales, operating expenses,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www.niu.com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Niu Technologies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ir@niu.com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916</Words>
  <Characters>5414</Characters>
  <CharactersWithSpaces>6389</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