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3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0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 Zhou</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156845</wp:posOffset>
            </wp:positionV>
            <wp:extent cx="102870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Announces Unaudited Fourth Quarter and Full Year 2025 Financial Results</w:t>
      </w:r>
    </w:p>
    <w:p>
      <w:pPr>
        <w:spacing w:after="0" w:line="227" w:lineRule="exact"/>
        <w:rPr>
          <w:sz w:val="20"/>
          <w:szCs w:val="20"/>
          <w:color w:val="auto"/>
        </w:rPr>
      </w:pPr>
    </w:p>
    <w:p>
      <w:pPr>
        <w:ind w:left="2940" w:hanging="167"/>
        <w:spacing w:after="0"/>
        <w:tabs>
          <w:tab w:leader="none" w:pos="2940" w:val="left"/>
        </w:tabs>
        <w:numPr>
          <w:ilvl w:val="2"/>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Fourth Quarter Revenues of RMB 676.2 million, down 17.4% year over year</w:t>
      </w:r>
    </w:p>
    <w:p>
      <w:pPr>
        <w:spacing w:after="0" w:line="225" w:lineRule="exact"/>
        <w:rPr>
          <w:rFonts w:ascii="Times New Roman" w:cs="Times New Roman" w:eastAsia="Times New Roman" w:hAnsi="Times New Roman"/>
          <w:sz w:val="18"/>
          <w:szCs w:val="18"/>
          <w:i w:val="1"/>
          <w:iCs w:val="1"/>
          <w:color w:val="auto"/>
        </w:rPr>
      </w:pPr>
    </w:p>
    <w:p>
      <w:pPr>
        <w:ind w:left="1820" w:hanging="161"/>
        <w:spacing w:after="0"/>
        <w:tabs>
          <w:tab w:leader="none" w:pos="182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Fourth Quarter Net Loss of RMB 88.1 million, compared with RMB 72.5 million in the same period of 2024</w:t>
      </w:r>
    </w:p>
    <w:p>
      <w:pPr>
        <w:spacing w:after="0" w:line="225" w:lineRule="exact"/>
        <w:rPr>
          <w:rFonts w:ascii="Times New Roman" w:cs="Times New Roman" w:eastAsia="Times New Roman" w:hAnsi="Times New Roman"/>
          <w:sz w:val="18"/>
          <w:szCs w:val="18"/>
          <w:i w:val="1"/>
          <w:iCs w:val="1"/>
          <w:color w:val="auto"/>
        </w:rPr>
      </w:pPr>
    </w:p>
    <w:p>
      <w:pPr>
        <w:ind w:left="3200" w:hanging="161"/>
        <w:spacing w:after="0"/>
        <w:tabs>
          <w:tab w:leader="none" w:pos="3200" w:val="left"/>
        </w:tabs>
        <w:numPr>
          <w:ilvl w:val="3"/>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 Year Revenues of RMB 4,307.9 million, up 31.0% year over year</w:t>
      </w:r>
    </w:p>
    <w:p>
      <w:pPr>
        <w:spacing w:after="0" w:line="225" w:lineRule="exact"/>
        <w:rPr>
          <w:rFonts w:ascii="Times New Roman" w:cs="Times New Roman" w:eastAsia="Times New Roman" w:hAnsi="Times New Roman"/>
          <w:sz w:val="18"/>
          <w:szCs w:val="18"/>
          <w:i w:val="1"/>
          <w:iCs w:val="1"/>
          <w:color w:val="auto"/>
        </w:rPr>
      </w:pPr>
    </w:p>
    <w:p>
      <w:pPr>
        <w:ind w:left="2700" w:hanging="168"/>
        <w:spacing w:after="0"/>
        <w:tabs>
          <w:tab w:leader="none" w:pos="270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 Year Net Loss of RMB 39.4 million, compared with RMB 193.2 million in 2024</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BEIJING, China, March 16, 2026 – Niu Technologies (“NIU” or “the Company”) (NASDAQ: NIU), the world’s leading provider of smart urban mobility solutions, today announced its unaudited financial results for the fourth quarter and full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 676.2 million, a decrease of 17.4% year over year</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15.3%, compared with 12.4% in the fourth quarter of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 88.1 million, compared with a net loss of RMB 72.5 million in the fourth quarter of 2024</w:t>
      </w:r>
    </w:p>
    <w:p>
      <w:pPr>
        <w:spacing w:after="0" w:line="9" w:lineRule="exact"/>
        <w:rPr>
          <w:rFonts w:ascii="Times New Roman" w:cs="Times New Roman" w:eastAsia="Times New Roman" w:hAnsi="Times New Roman"/>
          <w:sz w:val="18"/>
          <w:szCs w:val="18"/>
          <w:color w:val="auto"/>
        </w:rPr>
      </w:pPr>
    </w:p>
    <w:p>
      <w:pPr>
        <w:ind w:left="340" w:hanging="332"/>
        <w:spacing w:after="0" w:line="219"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net loss (non-GAAP)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 82.4 million, compared with an adjusted net loss of RMB 66.7 million in the fourth quarter of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Operating Highlights</w:t>
      </w:r>
    </w:p>
    <w:p>
      <w:pPr>
        <w:spacing w:after="0" w:line="8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number of e-scooters sold was 172,763, down 23.8% year over year</w:t>
      </w:r>
      <w:r>
        <w:rPr>
          <w:rFonts w:ascii="Times New Roman" w:cs="Times New Roman" w:eastAsia="Times New Roman" w:hAnsi="Times New Roman"/>
          <w:sz w:val="29"/>
          <w:szCs w:val="29"/>
          <w:color w:val="auto"/>
          <w:vertAlign w:val="superscript"/>
        </w:rPr>
        <w:t>2</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in China was 158,782, down 12.9% year over year</w:t>
      </w:r>
    </w:p>
    <w:p>
      <w:pPr>
        <w:spacing w:after="0" w:line="7" w:lineRule="exact"/>
        <w:rPr>
          <w:rFonts w:ascii="Times New Roman" w:cs="Times New Roman" w:eastAsia="Times New Roman" w:hAnsi="Times New Roman"/>
          <w:sz w:val="18"/>
          <w:szCs w:val="18"/>
          <w:color w:val="auto"/>
        </w:rPr>
      </w:pPr>
    </w:p>
    <w:p>
      <w:pPr>
        <w:ind w:left="340" w:hanging="332"/>
        <w:spacing w:after="0" w:line="192" w:lineRule="auto"/>
        <w:tabs>
          <w:tab w:leader="none" w:pos="34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The number of e-scooters sold in the international markets was 13,981, down 68.4% year over year</w:t>
      </w:r>
      <w:r>
        <w:rPr>
          <w:rFonts w:ascii="Times New Roman" w:cs="Times New Roman" w:eastAsia="Times New Roman" w:hAnsi="Times New Roman"/>
          <w:sz w:val="23"/>
          <w:szCs w:val="23"/>
          <w:color w:val="auto"/>
          <w:vertAlign w:val="superscript"/>
        </w:rPr>
        <w:t>2</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franchised stores in China was 4,540 as of December 31, 2025</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Yan Li, Chief Executive Officer of the Company, remarked, “Our China operations sustained robust growth throughout 2025, building strongly on last year’s momentum. Our latest products continue to set market trends by fusing pioneering technology with NIU’s signature design, ensuring the resilience of our business in a dynamic market. Our expanding portfolio is laying a highly scalable foundation to capture new consumer segments and drive the strategic expansion of our retail presence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6"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(non-GAAP) is defined as net income (loss) excluding share-based compensation expenses</w:t>
      </w:r>
    </w:p>
    <w:p>
      <w:pPr>
        <w:spacing w:after="0" w:line="22" w:lineRule="exact"/>
        <w:rPr>
          <w:sz w:val="20"/>
          <w:szCs w:val="20"/>
          <w:color w:val="auto"/>
        </w:rPr>
      </w:pPr>
    </w:p>
    <w:p>
      <w:pPr>
        <w:jc w:val="both"/>
        <w:ind w:firstLine="8"/>
        <w:spacing w:after="0" w:line="219"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discrepancy in the total number of e-scooters sold in the fourth quarter of 2025 disclosed herein and the sales volume disclosed in the Company’s press release on sales volume update dated January 5, 2026 was due to adjustments made for certain product returns in international markets that occurred subsequently in the first quarter of 2026. This adjustment was made in order to better align with the revenue recognized for product sales during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 Li continued, “Internationally, we are optimizing our retail footprint by accelerating the roll-out of electric motorcycles while streamlining micromobility operations to maximize efficiency. Overall, we are confident to deliver a sustained performance across both our domestic and overseas markets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reached RMB 676.2 million, representing a 17.4% decrease year over year. This decrease was primarily driven by a 23.8% decrease in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partially offset by a 4.0% increase in revenues per e-scooter. The following table shows the revenue breakdown and revenues per e-scooter in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 million)</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from China market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E-scooter sales from international markets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sub-total</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spare parts and services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per e-scooter</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E-scooter sales from China market</w:t>
            </w:r>
            <w:r>
              <w:rPr>
                <w:rFonts w:ascii="Times New Roman" w:cs="Times New Roman" w:eastAsia="Times New Roman" w:hAnsi="Times New Roman"/>
                <w:sz w:val="28"/>
                <w:szCs w:val="28"/>
                <w:color w:val="auto"/>
                <w:vertAlign w:val="superscript"/>
              </w:rPr>
              <w:t>3</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3,431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65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E-scooter sales from international markets</w:t>
            </w:r>
            <w:r>
              <w:rPr>
                <w:rFonts w:ascii="Times New Roman" w:cs="Times New Roman" w:eastAsia="Times New Roman" w:hAnsi="Times New Roman"/>
                <w:sz w:val="29"/>
                <w:szCs w:val="29"/>
                <w:color w:val="auto"/>
                <w:vertAlign w:val="superscript"/>
              </w:rPr>
              <w:t>3</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2,600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per e-scooter</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3,364</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65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Accessories, spare parts and services</w:t>
            </w:r>
            <w:r>
              <w:rPr>
                <w:rFonts w:ascii="Times New Roman" w:cs="Times New Roman" w:eastAsia="Times New Roman" w:hAnsi="Times New Roman"/>
                <w:sz w:val="29"/>
                <w:szCs w:val="29"/>
                <w:color w:val="auto"/>
                <w:vertAlign w:val="superscript"/>
              </w:rPr>
              <w:t>4</w:t>
            </w: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550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Blended revenues per e-scooter (including accessories, spare parts and services)</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3,914</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E-scooter sales revenues from China market were RMB 544.8 million, a decrease of 15.7% year over year, representing 93.7% of total e-scooter revenues. The decrease was mainly due to a 12.9% decline in sales volume and a 3.2% decrease in revenues per e-scooter in China market.</w:t>
      </w:r>
    </w:p>
    <w:p>
      <w:pPr>
        <w:jc w:val="both"/>
        <w:ind w:left="660" w:hanging="328"/>
        <w:spacing w:after="0" w:line="250" w:lineRule="auto"/>
        <w:tabs>
          <w:tab w:leader="none" w:pos="66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E-scooter sales revenues from international markets were RMB 36.3 million, a decrease of 58.3% year over year, representing 6.3% of total e-scooter revenues. The decrease was mainly due to lower sales volume and reduced revenues per e-scooter for kick-scooters in international markets.</w:t>
      </w:r>
    </w:p>
    <w:p>
      <w:pPr>
        <w:spacing w:after="0" w:line="1" w:lineRule="exact"/>
        <w:rPr>
          <w:rFonts w:ascii="Wingdings" w:cs="Wingdings" w:eastAsia="Wingdings" w:hAnsi="Wingdings"/>
          <w:sz w:val="18"/>
          <w:szCs w:val="18"/>
          <w:b w:val="1"/>
          <w:bCs w:val="1"/>
          <w:color w:val="auto"/>
        </w:rPr>
      </w:pPr>
    </w:p>
    <w:p>
      <w:pPr>
        <w:ind w:left="660" w:right="20" w:hanging="328"/>
        <w:spacing w:after="0" w:line="250" w:lineRule="auto"/>
        <w:tabs>
          <w:tab w:leader="none" w:pos="66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Accessories, spare parts and services revenues were RMB 95.1 million, an increase of 10.9% year over year, representing 14.1% of total revenues. The increase was primarily driven by higher revenues from Niu App services, as well as from accessories and spare parts sales in China market.</w:t>
      </w:r>
    </w:p>
    <w:p>
      <w:pPr>
        <w:ind w:left="660" w:hanging="328"/>
        <w:spacing w:after="0" w:line="260" w:lineRule="auto"/>
        <w:tabs>
          <w:tab w:leader="none" w:pos="66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Revenues per e-scooter were RMB 3,364, an increase of 4.0% year over year. This increase was primarily due to a higher sales proportion attributable to China market, partially offset by a slight decrease in revenues per e-scooter within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9" w:lineRule="exact"/>
        <w:rPr>
          <w:sz w:val="20"/>
          <w:szCs w:val="20"/>
          <w:color w:val="auto"/>
        </w:rPr>
      </w:pPr>
    </w:p>
    <w:p>
      <w:pPr>
        <w:ind w:firstLine="8"/>
        <w:spacing w:after="0" w:line="195"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e-scooter sales from China or international markets is defined as e-scooter sales revenues from China or international markets divided by the number of e-scooters sold in China or international market in a specific period</w:t>
      </w:r>
    </w:p>
    <w:p>
      <w:pPr>
        <w:spacing w:after="0" w:line="24" w:lineRule="exact"/>
        <w:rPr>
          <w:sz w:val="20"/>
          <w:szCs w:val="20"/>
          <w:color w:val="auto"/>
        </w:rPr>
      </w:pPr>
    </w:p>
    <w:p>
      <w:pPr>
        <w:ind w:firstLine="8"/>
        <w:spacing w:after="0" w:line="195" w:lineRule="auto"/>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accessories, spare parts and services is defined as accessories, spare parts and services revenues divided by the total number of e-scooters sold in a specific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 573.0 million, a decrease of 20.1% year over year, mainly due to lower sales volume. The cost per e-scooter, defined as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divided by the number of e-scooters sold in a specific period, was RMB 3,317, an increase of 4.8% from RMB 3,165 in the fourth quarter of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increase was mainly due to provisions for slow-moving inventory and higher freight costs in international markets, partially offset by cost-reduction initiatives in China market.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15.3%, compared with 12.4% in the same period of 2024. The increase was primarily attributable to China market, driven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product mix shift towards higher-margin e-scooters and effective cost-reduction initiatives. This was partially offset by lower gross margin for kick-scooters in international markets.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 206.1 million, an increase of 6.8% from the same period of 2024. Operating expenses as a percentage of revenues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30.5%, compared with 23.6% in the fourth quarter of 2024.</w:t>
      </w:r>
    </w:p>
    <w:p>
      <w:pPr>
        <w:spacing w:after="0" w:line="155" w:lineRule="exact"/>
        <w:rPr>
          <w:sz w:val="20"/>
          <w:szCs w:val="20"/>
          <w:color w:val="auto"/>
        </w:rPr>
      </w:pPr>
    </w:p>
    <w:p>
      <w:pPr>
        <w:jc w:val="both"/>
        <w:ind w:left="660" w:hanging="328"/>
        <w:spacing w:after="0" w:line="255"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 144.1 million (including RMB 0.9 million of share-based compensation expenses),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5.7% from RMB 136.3 million in the fourth quarter of 2024, mainly due to an increase of RMB 12.1 million in rental expenses, primarily in international markets, RMB 9.3 million in staff costs, and RMB 3.7 million in depreciation and amortization, partially offset by a decrease of RMB 19.1 million in advertising and promotion expenses primarily in China market. Selling and marketing expenses as a percentage of revenues were 21.3%, compared with 16.6% in the fourth quarter of 2024.</w:t>
      </w:r>
    </w:p>
    <w:p>
      <w:pPr>
        <w:spacing w:after="0" w:line="2" w:lineRule="exact"/>
        <w:rPr>
          <w:rFonts w:ascii="Wingdings" w:cs="Wingdings" w:eastAsia="Wingdings" w:hAnsi="Wingdings"/>
          <w:sz w:val="18"/>
          <w:szCs w:val="18"/>
          <w:b w:val="1"/>
          <w:bCs w:val="1"/>
          <w:color w:val="auto"/>
        </w:rPr>
      </w:pPr>
    </w:p>
    <w:p>
      <w:pPr>
        <w:jc w:val="both"/>
        <w:ind w:left="660" w:hanging="328"/>
        <w:spacing w:after="0" w:line="250"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 49.5 million (including RMB 2.3 million of share-based compensation expenses),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28.2% from RMB 38.6 million in the fourth quarter of 2024, mainly due to an increase of RMB 6.5 million in staff costs and share-based compensation, and RMB 4.4 million in design and testing expenses. Research and development expenses as a percentage of revenues were 7.3%, compared with 4.7% in the fourth quarter of 2024.</w:t>
      </w:r>
    </w:p>
    <w:p>
      <w:pPr>
        <w:spacing w:after="0" w:line="1" w:lineRule="exact"/>
        <w:rPr>
          <w:rFonts w:ascii="Wingdings" w:cs="Wingdings" w:eastAsia="Wingdings" w:hAnsi="Wingdings"/>
          <w:sz w:val="18"/>
          <w:szCs w:val="18"/>
          <w:b w:val="1"/>
          <w:bCs w:val="1"/>
          <w:color w:val="auto"/>
        </w:rPr>
      </w:pPr>
    </w:p>
    <w:p>
      <w:pPr>
        <w:jc w:val="both"/>
        <w:ind w:left="660" w:hanging="328"/>
        <w:spacing w:after="0" w:line="253"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 12.5 million (including RMB 2.4 million of share-based compensation expenses),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31.0% from RMB 18.1 million in the fourth quarter of 2024, mainly due to a decrease of RMB 14.8 million in taxes and surcharges, partially offset by an increase of RMB 11.2 million in foreign exchange losses. General and administrative expenses as a percentage of revenues were 1.8%, compared with 2.2% in the fourth quarter of 2024.</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excluding share-based compensation expenses </w:t>
      </w:r>
      <w:r>
        <w:rPr>
          <w:rFonts w:ascii="Times New Roman" w:cs="Times New Roman" w:eastAsia="Times New Roman" w:hAnsi="Times New Roman"/>
          <w:sz w:val="18"/>
          <w:szCs w:val="18"/>
          <w:color w:val="auto"/>
        </w:rPr>
        <w:t>were RMB 200.6 million, an increase of 7.1% year over year, representing 29.7%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compared with 22.9% in the fourth quarter of 2024.</w:t>
      </w:r>
    </w:p>
    <w:p>
      <w:pPr>
        <w:spacing w:after="0" w:line="155" w:lineRule="exact"/>
        <w:rPr>
          <w:sz w:val="20"/>
          <w:szCs w:val="20"/>
          <w:color w:val="auto"/>
        </w:rPr>
      </w:pPr>
    </w:p>
    <w:p>
      <w:pPr>
        <w:ind w:left="660" w:hanging="328"/>
        <w:spacing w:after="0" w:line="263" w:lineRule="auto"/>
        <w:tabs>
          <w:tab w:leader="none" w:pos="660" w:val="left"/>
        </w:tabs>
        <w:numPr>
          <w:ilvl w:val="0"/>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excluding share-based compensation expenses </w:t>
      </w:r>
      <w:r>
        <w:rPr>
          <w:rFonts w:ascii="Times New Roman" w:cs="Times New Roman" w:eastAsia="Times New Roman" w:hAnsi="Times New Roman"/>
          <w:sz w:val="18"/>
          <w:szCs w:val="18"/>
          <w:color w:val="auto"/>
        </w:rPr>
        <w:t>were RMB 143.2 million, an increase of 6.1% year over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21.2% of revenues, compared with 16.5% in the fourth quarter of 2024.</w:t>
      </w:r>
    </w:p>
    <w:p>
      <w:pPr>
        <w:ind w:left="660" w:hanging="328"/>
        <w:spacing w:after="0" w:line="260" w:lineRule="auto"/>
        <w:tabs>
          <w:tab w:leader="none" w:pos="660" w:val="left"/>
        </w:tabs>
        <w:numPr>
          <w:ilvl w:val="0"/>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excluding share-based compensation expenses </w:t>
      </w:r>
      <w:r>
        <w:rPr>
          <w:rFonts w:ascii="Times New Roman" w:cs="Times New Roman" w:eastAsia="Times New Roman" w:hAnsi="Times New Roman"/>
          <w:sz w:val="18"/>
          <w:szCs w:val="18"/>
          <w:color w:val="auto"/>
        </w:rPr>
        <w:t>were RMB 47.3 million, an increase of 29.3% year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representing 7.0% of revenues, compared with 4.5% in the fourth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14" w:lineRule="exact"/>
        <w:rPr>
          <w:sz w:val="20"/>
          <w:szCs w:val="20"/>
          <w:color w:val="auto"/>
        </w:rPr>
      </w:pPr>
    </w:p>
    <w:p>
      <w:pPr>
        <w:ind w:left="660" w:right="20" w:hanging="328"/>
        <w:spacing w:after="0" w:line="286" w:lineRule="auto"/>
        <w:tabs>
          <w:tab w:leader="none" w:pos="660" w:val="left"/>
        </w:tabs>
        <w:numPr>
          <w:ilvl w:val="0"/>
          <w:numId w:val="1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excluding share-based compensation </w:t>
      </w:r>
      <w:r>
        <w:rPr>
          <w:rFonts w:ascii="Times New Roman" w:cs="Times New Roman" w:eastAsia="Times New Roman" w:hAnsi="Times New Roman"/>
          <w:sz w:val="18"/>
          <w:szCs w:val="18"/>
          <w:color w:val="auto"/>
        </w:rPr>
        <w:t>were RMB 10.1 million, a decrease of 36.2% year over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1.5% of revenues, compared with 1.9% in the fourth quarter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Share-based compensation expenses </w:t>
      </w:r>
      <w:r>
        <w:rPr>
          <w:rFonts w:ascii="Times New Roman" w:cs="Times New Roman" w:eastAsia="Times New Roman" w:hAnsi="Times New Roman"/>
          <w:sz w:val="18"/>
          <w:szCs w:val="18"/>
          <w:color w:val="auto"/>
        </w:rPr>
        <w:t>were RMB 5.7 million, compared with RMB 5.9 million in the same period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was RMB 8.0 million, compared with RMB 9.8 million in the same period of 2024.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 88.1 million, compared with RMB 72.5 million in the fourth quarter of 2024. The net loss margin was 13.0%, compared with 8.9%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2024.</w:t>
      </w:r>
    </w:p>
    <w:p>
      <w:pPr>
        <w:spacing w:after="0" w:line="16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Adjusted net loss (non-GAAP) </w:t>
      </w:r>
      <w:r>
        <w:rPr>
          <w:rFonts w:ascii="Times New Roman" w:cs="Times New Roman" w:eastAsia="Times New Roman" w:hAnsi="Times New Roman"/>
          <w:sz w:val="18"/>
          <w:szCs w:val="18"/>
          <w:color w:val="auto"/>
        </w:rPr>
        <w:t>was RMB 82.4 million, compared with RMB 66.7 million in the fourth quarter of 2024. The adjusted net loss margin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12.2%, compared with 8.1% in the same period of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ADS </w:t>
      </w:r>
      <w:r>
        <w:rPr>
          <w:rFonts w:ascii="Times New Roman" w:cs="Times New Roman" w:eastAsia="Times New Roman" w:hAnsi="Times New Roman"/>
          <w:sz w:val="18"/>
          <w:szCs w:val="18"/>
          <w:color w:val="auto"/>
        </w:rPr>
        <w:t>were both RMB 1.10 (US$ 0.16).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 4,307.9 million, representing a 31.0% increase year over year. This growth was primarily driven by a 29.0% increase in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complemented by a 2.1% increase in revenues per e-scooter. E-scooter sales revenues from China market and international markets represented 93.2% and 6.8% of our total revenues from e-scooter sales, respectively. The following table shows the revenue breakdown and revenues per e-scooter in the years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 million)</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from China market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E-scooter sales from international markets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sub-total</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3,896.5</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spare parts and services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4,307.9</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3,288.3</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per e-scooter</w:t>
            </w: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E-scooter sales from China market</w:t>
            </w:r>
            <w:r>
              <w:rPr>
                <w:rFonts w:ascii="Times New Roman" w:cs="Times New Roman" w:eastAsia="Times New Roman" w:hAnsi="Times New Roman"/>
                <w:sz w:val="28"/>
                <w:szCs w:val="28"/>
                <w:color w:val="auto"/>
                <w:vertAlign w:val="superscript"/>
              </w:rPr>
              <w:t>3</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3,264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65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E-scooter sales from international markets</w:t>
            </w:r>
            <w:r>
              <w:rPr>
                <w:rFonts w:ascii="Times New Roman" w:cs="Times New Roman" w:eastAsia="Times New Roman" w:hAnsi="Times New Roman"/>
                <w:sz w:val="29"/>
                <w:szCs w:val="29"/>
                <w:color w:val="auto"/>
                <w:vertAlign w:val="superscript"/>
              </w:rPr>
              <w:t>3</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3,330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per e-scooter</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3,269</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65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Accessories, spare parts and services</w:t>
            </w:r>
            <w:r>
              <w:rPr>
                <w:rFonts w:ascii="Times New Roman" w:cs="Times New Roman" w:eastAsia="Times New Roman" w:hAnsi="Times New Roman"/>
                <w:sz w:val="29"/>
                <w:szCs w:val="29"/>
                <w:color w:val="auto"/>
                <w:vertAlign w:val="superscript"/>
              </w:rPr>
              <w:t>4</w:t>
            </w: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345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Blended revenues per e-scooter (including accessories, spare parts and services)</w:t>
            </w: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3,614</w:t>
            </w:r>
          </w:p>
        </w:tc>
        <w:tc>
          <w:tcPr>
            <w:tcW w:w="2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margin is defined as adjusted net income (loss) (non-GAAP) as a percentage of the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 3,464.3 million, an increase of 24.2% year over year, mainly due to higher e-scooter sales volume. The cost per e-scooter,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as cost of revenues divided by the number of e-scooters sold in a specific period, was RMB 2,906, a decrease of 3.7% from RMB 3,018 in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19.6%, compared with 15.2% in 2024. The increase was primarily driven by China market, reflecting a strategic shift in product mix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towards higher-margin e-scooters and our continued cost-optimization initiatives. This was partially offset by a lower gross margin for kick-scooters in international markets.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 933.2 million, an increase of 24.4% from RMB 750.3 million in 2024. Operating expenses as a percentage of revenues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21.7%, compared with 22.8% in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excluding share-based compensation expenses </w:t>
      </w:r>
      <w:r>
        <w:rPr>
          <w:rFonts w:ascii="Times New Roman" w:cs="Times New Roman" w:eastAsia="Times New Roman" w:hAnsi="Times New Roman"/>
          <w:sz w:val="18"/>
          <w:szCs w:val="18"/>
          <w:color w:val="auto"/>
        </w:rPr>
        <w:t>were RMB 906.3 million, an increase of 24.7% year over year, representing 21.0%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revenues, compared with 22.1% in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Share-based compensation expenses </w:t>
      </w:r>
      <w:r>
        <w:rPr>
          <w:rFonts w:ascii="Times New Roman" w:cs="Times New Roman" w:eastAsia="Times New Roman" w:hAnsi="Times New Roman"/>
          <w:sz w:val="18"/>
          <w:szCs w:val="18"/>
          <w:color w:val="auto"/>
        </w:rPr>
        <w:t>were RMB 27.7 million, an increase of RMB 3.5 million from RMB 24.2 million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was RMB 23.0 million, compared with RMB 23.6 million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 39.4 million, compared with RMB 193.2 million in 2024. The net loss margin was 0.9%, compared with 5.9% in 2024.</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Adjusted net loss (non-GAAP) </w:t>
      </w:r>
      <w:r>
        <w:rPr>
          <w:rFonts w:ascii="Times New Roman" w:cs="Times New Roman" w:eastAsia="Times New Roman" w:hAnsi="Times New Roman"/>
          <w:sz w:val="18"/>
          <w:szCs w:val="18"/>
          <w:color w:val="auto"/>
        </w:rPr>
        <w:t>was RMB 11.7 million, compared with RMB 169.0 million in 2024. The adjusted net loss margin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0.3%,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5.1% in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ADS </w:t>
      </w:r>
      <w:r>
        <w:rPr>
          <w:rFonts w:ascii="Times New Roman" w:cs="Times New Roman" w:eastAsia="Times New Roman" w:hAnsi="Times New Roman"/>
          <w:sz w:val="18"/>
          <w:szCs w:val="18"/>
          <w:color w:val="auto"/>
        </w:rPr>
        <w:t>were both RMB 0.49 (US$ 0.07).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As of December 31, 2025, the Company had </w:t>
      </w:r>
      <w:r>
        <w:rPr>
          <w:rFonts w:ascii="Times New Roman" w:cs="Times New Roman" w:eastAsia="Times New Roman" w:hAnsi="Times New Roman"/>
          <w:sz w:val="18"/>
          <w:szCs w:val="18"/>
          <w:b w:val="1"/>
          <w:bCs w:val="1"/>
          <w:color w:val="auto"/>
        </w:rPr>
        <w:t>cash and cash equivalents, term deposits and short-term investments</w:t>
      </w:r>
      <w:r>
        <w:rPr>
          <w:rFonts w:ascii="Times New Roman" w:cs="Times New Roman" w:eastAsia="Times New Roman" w:hAnsi="Times New Roman"/>
          <w:sz w:val="18"/>
          <w:szCs w:val="18"/>
          <w:color w:val="auto"/>
        </w:rPr>
        <w:t xml:space="preserve"> of RMB 1,115.6 million in aggregate. The Company had restricted cash of RMB 210.9 million and short-term bank borrowings of RMB 240.0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NIU expects revenues for the first quarter of 2026 to be in the range of RMB 887 million to RMB 1,023 million, representing a year-over-year increase of 30% to 50%. NIU expects sales volume for the full year 2026 to be in the range of 1.7 million to 1.9 million units, representing a year-over-year increase of approximately 40% to 60%.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outlook is based on information available as of the date of this press release and reflects the Company’s current and preliminary expectations and is subject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Monday, March 16, 2026 at 8:00 AM U.S. Eastern Time (8:00 PM Beijing/Hong Kong Time) to discuss its fourth quarter and full year 2025 financial and business results and provide a corporate update.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join via phone, participants need to register in advance of the conference call using the link provided below. Upon registration, participants will receive dial-in numbers and a personal PIN, which will be used to join the conference call.</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Link: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880"/>
        <w:spacing w:after="0" w:line="312" w:lineRule="auto"/>
        <w:rPr>
          <w:sz w:val="20"/>
          <w:szCs w:val="20"/>
          <w:color w:val="auto"/>
        </w:rPr>
      </w:pPr>
      <w:r>
        <w:rPr>
          <w:rFonts w:ascii="Times New Roman" w:cs="Times New Roman" w:eastAsia="Times New Roman" w:hAnsi="Times New Roman"/>
          <w:sz w:val="17"/>
          <w:szCs w:val="17"/>
          <w:color w:val="auto"/>
        </w:rPr>
        <w:t>Niu Technologies Fourth Quarter and Full Year 2025 Financial Results Conference Call https://register-conf.media-server.com/register/BI12f59df276994aebae3a0f8be5db53de</w:t>
      </w:r>
    </w:p>
    <w:p>
      <w:pPr>
        <w:spacing w:after="0" w:line="140" w:lineRule="exact"/>
        <w:rPr>
          <w:sz w:val="20"/>
          <w:szCs w:val="20"/>
          <w:color w:val="auto"/>
        </w:rPr>
      </w:pPr>
    </w:p>
    <w:p>
      <w:pPr>
        <w:sectPr>
          <w:pgSz w:w="11900" w:h="16838" w:orient="portrait"/>
          <w:cols w:equalWidth="0" w:num="2">
            <w:col w:w="1440" w:space="600"/>
            <w:col w:w="9200"/>
          </w:cols>
          <w:pgMar w:left="320" w:top="1440"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live and archived webcast of the conference call will be available on the investor relations website at https://ir.niu.com/news-and-events/webcasts-and-presentations.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NIU’s consolidated financial results presented in accordance with the accounting principles generally accepted in the United States of America (“GAAP”), NIU uses the following non-GAAP financial measures: adjusted net income (loss) and adjusted net income (loss) margin. The presentation of these non-GAAP financial measures is not intended to be considered in isolation or as a substitute for the financial information prepared and presented in accordance with GAAP. NIU believes that these non-GAAP financial measures provide meaningful supplemental information regarding its performance and liquidity by excluding certain items that may not be indicative of its operating results. The Company believes that both management and investors benefit from referring to these non-GAAP financial measures in assessing its performance and when planning and forecasting future periods. These non-GAAP financial measures also facilitate management’s internal comparisons to NIU’s historical performance.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share-based compensation expenses. Adjusted net income (loss) margin is defined as adjusted net income (loss) as a percentage of the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non-GAAP financial measures, please see the table captioned “Reconciliation of GAAP and Non-GAAP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 at specified rates solely for the convenience of the readers. Unless otherwise stated, all translations from RMB to US$ were made at the rate of RMB 6.9931 to US$ 1.00, the exchange rate in effect as of December 31, 2025, as set forth in the H.10 Statistical release of the Board of Governors of the Federal Reserve System. The Company makes no representation that the RMB or US$ amounts referred could be converted into US$ or RMB,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630,021,303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924,738,132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132,235,794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 deposits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274,351,895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128,235,695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18,337,460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216,395,796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210,864,000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30,153,151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62,661,176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8,960,429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131,921,419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37,372,044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5,344,131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649,177,719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652,579,651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93,317,649</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267,938,339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343,536,572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49,125,076</w:t>
            </w: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2,169,806,471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2,359,987,270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337,473,690</w:t>
            </w:r>
          </w:p>
        </w:tc>
        <w:tc>
          <w:tcPr>
            <w:tcW w:w="10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320,013,632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420,173,035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60,083,945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1,043,801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776,328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111,013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71,223,350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75,954,225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10,861,310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31,752,254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57,457,432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8,216,303</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19,318,659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35,988,114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5,146,232</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443,351,696</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590,349,134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84,418,803</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2,613,158,167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2,950,336,404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421,892,493</w:t>
            </w: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34,319,544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294,348,768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394,285,714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56,382,107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869,015,140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704,089,088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100,683,400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1,071,914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2,197,710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314,268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35,892,860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182,598,444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26,111,230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50,247,103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75,148,049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10,746,028</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201,356,008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404,813,611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57,887,575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1,651,931,793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2,003,132,616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286,444,152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16,886,859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23,316,175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3,334,169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3,269,464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2,057,892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294,275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3,956,501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565,772</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9,697,841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12,941,916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1,850,669</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29,944,154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42,272,484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6,044,885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1,681,875,947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2,045,405,100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292,489,037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1,988,638,160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2,016,533,709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288,360,485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(3,129,362)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(17,990,674)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(2,572,632)</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(1,054,327,443)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(1,093,713,031)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(156,398,883)</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931,282,220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904,931,304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129,403,456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2,613,158,167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2,950,336,404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421,892,493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987"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53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11"/>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7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819,179,677</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676,247,493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96,702,105</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3,288,296,344</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4,307,865,498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616,016,573</w:t>
            </w:r>
          </w:p>
        </w:tc>
      </w:tr>
      <w:tr>
        <w:trPr>
          <w:trHeight w:val="270"/>
        </w:trPr>
        <w:tc>
          <w:tcPr>
            <w:tcW w:w="32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(a)</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(717,195,572)</w:t>
            </w:r>
          </w:p>
        </w:tc>
        <w:tc>
          <w:tcPr>
            <w:tcW w:w="120" w:type="dxa"/>
            <w:vAlign w:val="bottom"/>
          </w:tcPr>
          <w:p>
            <w:pPr>
              <w:spacing w:after="0"/>
              <w:rPr>
                <w:sz w:val="23"/>
                <w:szCs w:val="23"/>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(573,044,436)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(81,944,264)</w:t>
            </w:r>
          </w:p>
        </w:tc>
        <w:tc>
          <w:tcPr>
            <w:tcW w:w="6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(2,789,533,350)</w:t>
            </w:r>
          </w:p>
        </w:tc>
        <w:tc>
          <w:tcPr>
            <w:tcW w:w="120" w:type="dxa"/>
            <w:vAlign w:val="bottom"/>
          </w:tcPr>
          <w:p>
            <w:pPr>
              <w:spacing w:after="0"/>
              <w:rPr>
                <w:sz w:val="23"/>
                <w:szCs w:val="23"/>
                <w:color w:val="auto"/>
              </w:rPr>
            </w:pP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(3,464,294,613)</w:t>
            </w: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(495,387,541)</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101,984,105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103,203,057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14,757,841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498,762,994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843,570,885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120,629,032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3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Selling and marketing expenses</w:t>
            </w:r>
            <w:r>
              <w:rPr>
                <w:rFonts w:ascii="Times New Roman" w:cs="Times New Roman" w:eastAsia="Times New Roman" w:hAnsi="Times New Roman"/>
                <w:sz w:val="29"/>
                <w:szCs w:val="29"/>
                <w:color w:val="auto"/>
                <w:vertAlign w:val="superscript"/>
              </w:rPr>
              <w:t>(a)</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(136,342,357)</w:t>
            </w:r>
          </w:p>
        </w:tc>
        <w:tc>
          <w:tcPr>
            <w:tcW w:w="120" w:type="dxa"/>
            <w:vAlign w:val="bottom"/>
          </w:tcPr>
          <w:p>
            <w:pPr>
              <w:spacing w:after="0"/>
              <w:rPr>
                <w:sz w:val="22"/>
                <w:szCs w:val="22"/>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(144,124,497)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(20,609,529)</w:t>
            </w:r>
          </w:p>
        </w:tc>
        <w:tc>
          <w:tcPr>
            <w:tcW w:w="6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(489,577,690)</w:t>
            </w:r>
          </w:p>
        </w:tc>
        <w:tc>
          <w:tcPr>
            <w:tcW w:w="120" w:type="dxa"/>
            <w:vAlign w:val="bottom"/>
          </w:tcPr>
          <w:p>
            <w:pPr>
              <w:spacing w:after="0"/>
              <w:rPr>
                <w:sz w:val="22"/>
                <w:szCs w:val="22"/>
                <w:color w:val="auto"/>
              </w:rPr>
            </w:pP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(675,769,295)</w:t>
            </w:r>
          </w:p>
        </w:tc>
        <w:tc>
          <w:tcPr>
            <w:tcW w:w="1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(96,633,724)</w:t>
            </w:r>
          </w:p>
        </w:tc>
      </w:tr>
      <w:tr>
        <w:trPr>
          <w:trHeight w:val="257"/>
        </w:trPr>
        <w:tc>
          <w:tcPr>
            <w:tcW w:w="3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Research and development expenses</w:t>
            </w:r>
            <w:r>
              <w:rPr>
                <w:rFonts w:ascii="Times New Roman" w:cs="Times New Roman" w:eastAsia="Times New Roman" w:hAnsi="Times New Roman"/>
                <w:sz w:val="29"/>
                <w:szCs w:val="29"/>
                <w:color w:val="auto"/>
                <w:vertAlign w:val="superscript"/>
              </w:rPr>
              <w:t>(a)</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(38,622,708)</w:t>
            </w:r>
          </w:p>
        </w:tc>
        <w:tc>
          <w:tcPr>
            <w:tcW w:w="1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(49,529,896)</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(7,082,681)</w:t>
            </w:r>
          </w:p>
        </w:tc>
        <w:tc>
          <w:tcPr>
            <w:tcW w:w="6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(130,111,359)</w:t>
            </w:r>
          </w:p>
        </w:tc>
        <w:tc>
          <w:tcPr>
            <w:tcW w:w="12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(166,452,286)</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(23,802,360)</w:t>
            </w:r>
          </w:p>
        </w:tc>
      </w:tr>
      <w:tr>
        <w:trPr>
          <w:trHeight w:val="270"/>
        </w:trPr>
        <w:tc>
          <w:tcPr>
            <w:tcW w:w="32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9"/>
                <w:szCs w:val="29"/>
                <w:color w:val="auto"/>
                <w:vertAlign w:val="superscript"/>
              </w:rPr>
              <w:t>(a)</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(18,075,985)</w:t>
            </w:r>
          </w:p>
        </w:tc>
        <w:tc>
          <w:tcPr>
            <w:tcW w:w="120" w:type="dxa"/>
            <w:vAlign w:val="bottom"/>
          </w:tcPr>
          <w:p>
            <w:pPr>
              <w:spacing w:after="0"/>
              <w:rPr>
                <w:sz w:val="23"/>
                <w:szCs w:val="23"/>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(12,463,572)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(1,782,267)</w:t>
            </w:r>
          </w:p>
        </w:tc>
        <w:tc>
          <w:tcPr>
            <w:tcW w:w="6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(130,617,629)</w:t>
            </w:r>
          </w:p>
        </w:tc>
        <w:tc>
          <w:tcPr>
            <w:tcW w:w="120" w:type="dxa"/>
            <w:vAlign w:val="bottom"/>
          </w:tcPr>
          <w:p>
            <w:pPr>
              <w:spacing w:after="0"/>
              <w:rPr>
                <w:sz w:val="23"/>
                <w:szCs w:val="23"/>
                <w:color w:val="auto"/>
              </w:rPr>
            </w:pP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(90,963,018)</w:t>
            </w: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(13,007,539)</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(193,041,050)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(206,117,965)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(29,474,477)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(750,306,678)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(933,184,599)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(133,443,623)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387,800</w:t>
            </w:r>
          </w:p>
        </w:tc>
        <w:tc>
          <w:tcPr>
            <w:tcW w:w="120" w:type="dxa"/>
            <w:vAlign w:val="bottom"/>
          </w:tcPr>
          <w:p>
            <w:pPr>
              <w:spacing w:after="0"/>
              <w:rPr>
                <w:sz w:val="19"/>
                <w:szCs w:val="19"/>
                <w:color w:val="auto"/>
              </w:rPr>
            </w:pP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282,812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40,442</w:t>
            </w:r>
          </w:p>
        </w:tc>
        <w:tc>
          <w:tcPr>
            <w:tcW w:w="60" w:type="dxa"/>
            <w:vAlign w:val="bottom"/>
          </w:tcPr>
          <w:p>
            <w:pPr>
              <w:spacing w:after="0"/>
              <w:rPr>
                <w:sz w:val="19"/>
                <w:szCs w:val="19"/>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911,556</w:t>
            </w:r>
          </w:p>
        </w:tc>
        <w:tc>
          <w:tcPr>
            <w:tcW w:w="120" w:type="dxa"/>
            <w:vAlign w:val="bottom"/>
          </w:tcPr>
          <w:p>
            <w:pPr>
              <w:spacing w:after="0"/>
              <w:rPr>
                <w:sz w:val="19"/>
                <w:szCs w:val="19"/>
                <w:color w:val="auto"/>
              </w:rPr>
            </w:pPr>
          </w:p>
        </w:tc>
        <w:tc>
          <w:tcPr>
            <w:tcW w:w="14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1,366,650</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195,428</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(90,669,145)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(102,632,096)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(14,676,194)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(250,632,128)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(88,247,064)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(12,619,163)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(1,598,640)</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(1,807,591)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(258,482)</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(5,623,544)</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(6,130,439)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(876,641)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9,559,430</w:t>
            </w:r>
          </w:p>
        </w:tc>
        <w:tc>
          <w:tcPr>
            <w:tcW w:w="120" w:type="dxa"/>
            <w:vAlign w:val="bottom"/>
          </w:tcPr>
          <w:p>
            <w:pPr>
              <w:spacing w:after="0"/>
              <w:rPr>
                <w:sz w:val="18"/>
                <w:szCs w:val="18"/>
                <w:color w:val="auto"/>
              </w:rPr>
            </w:pP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6,329,914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905,166</w:t>
            </w:r>
          </w:p>
        </w:tc>
        <w:tc>
          <w:tcPr>
            <w:tcW w:w="60" w:type="dxa"/>
            <w:vAlign w:val="bottom"/>
          </w:tcPr>
          <w:p>
            <w:pPr>
              <w:spacing w:after="0"/>
              <w:rPr>
                <w:sz w:val="18"/>
                <w:szCs w:val="18"/>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37,089,488</w:t>
            </w:r>
          </w:p>
        </w:tc>
        <w:tc>
          <w:tcPr>
            <w:tcW w:w="120" w:type="dxa"/>
            <w:vAlign w:val="bottom"/>
          </w:tcPr>
          <w:p>
            <w:pPr>
              <w:spacing w:after="0"/>
              <w:rPr>
                <w:sz w:val="18"/>
                <w:szCs w:val="18"/>
                <w:color w:val="auto"/>
              </w:rPr>
            </w:pPr>
          </w:p>
        </w:tc>
        <w:tc>
          <w:tcPr>
            <w:tcW w:w="14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26,464,512</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3,784,375</w:t>
            </w: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371,460</w:t>
            </w: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2,001,403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286,197</w:t>
            </w:r>
          </w:p>
        </w:tc>
        <w:tc>
          <w:tcPr>
            <w:tcW w:w="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2,358,995</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5,543,812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792,755</w:t>
            </w: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(82,336,895)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(96,108,370)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(13,743,313)</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(216,807,189)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(62,369,179)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(8,918,674)</w:t>
            </w:r>
          </w:p>
        </w:tc>
        <w:tc>
          <w:tcPr>
            <w:tcW w:w="100" w:type="dxa"/>
            <w:vAlign w:val="bottom"/>
          </w:tcPr>
          <w:p>
            <w:pPr>
              <w:spacing w:after="0"/>
              <w:rPr>
                <w:sz w:val="18"/>
                <w:szCs w:val="18"/>
                <w:color w:val="auto"/>
              </w:rPr>
            </w:pPr>
          </w:p>
        </w:tc>
      </w:tr>
      <w:tr>
        <w:trPr>
          <w:trHeight w:val="23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9,798,826</w:t>
            </w: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7,999,794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1,143,955</w:t>
            </w:r>
          </w:p>
        </w:tc>
        <w:tc>
          <w:tcPr>
            <w:tcW w:w="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23,606,550</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22,983,591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3,286,610</w:t>
            </w:r>
          </w:p>
        </w:tc>
      </w:tr>
      <w:tr>
        <w:trPr>
          <w:trHeight w:val="26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(72,538,069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(88,108,576</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(12,599,358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(193,200,639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(39,385,588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(5,632,064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3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nil income taxes</w:t>
            </w: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10,263,988</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(1,422,394)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(203,400)</w:t>
            </w:r>
          </w:p>
        </w:tc>
        <w:tc>
          <w:tcPr>
            <w:tcW w:w="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6,366,312</w:t>
            </w:r>
          </w:p>
        </w:tc>
        <w:tc>
          <w:tcPr>
            <w:tcW w:w="1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(14,861,312)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(2,125,139)</w:t>
            </w:r>
          </w:p>
        </w:tc>
      </w:tr>
      <w:tr>
        <w:trPr>
          <w:trHeight w:val="28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(62,274,081)</w:t>
            </w:r>
          </w:p>
        </w:tc>
        <w:tc>
          <w:tcPr>
            <w:tcW w:w="120" w:type="dxa"/>
            <w:vAlign w:val="bottom"/>
          </w:tcPr>
          <w:p>
            <w:pPr>
              <w:spacing w:after="0"/>
              <w:rPr>
                <w:sz w:val="24"/>
                <w:szCs w:val="24"/>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(89,530,970)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(12,802,758)</w:t>
            </w:r>
          </w:p>
        </w:tc>
        <w:tc>
          <w:tcPr>
            <w:tcW w:w="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(186,834,327)</w:t>
            </w:r>
          </w:p>
        </w:tc>
        <w:tc>
          <w:tcPr>
            <w:tcW w:w="120" w:type="dxa"/>
            <w:vAlign w:val="bottom"/>
          </w:tcPr>
          <w:p>
            <w:pPr>
              <w:spacing w:after="0"/>
              <w:rPr>
                <w:sz w:val="24"/>
                <w:szCs w:val="24"/>
                <w:color w:val="auto"/>
              </w:rPr>
            </w:pP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(54,246,900)</w:t>
            </w:r>
          </w:p>
        </w:tc>
        <w:tc>
          <w:tcPr>
            <w:tcW w:w="1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(7,757,203)</w:t>
            </w:r>
          </w:p>
        </w:tc>
      </w:tr>
      <w:tr>
        <w:trPr>
          <w:trHeight w:val="196"/>
        </w:trPr>
        <w:tc>
          <w:tcPr>
            <w:tcW w:w="3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8"/>
                <w:szCs w:val="18"/>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(0.55)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ADS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8"/>
                <w:szCs w:val="18"/>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and ordinary shares equivalents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used in computing net loss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ordinary share</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158,924,842</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160,034,451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9"/>
              </w:rPr>
              <w:t>160,034,451</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158,460,242</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159,714,698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159,714,698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158,924,842</w:t>
            </w:r>
          </w:p>
        </w:tc>
        <w:tc>
          <w:tcPr>
            <w:tcW w:w="120" w:type="dxa"/>
            <w:vAlign w:val="bottom"/>
          </w:tcPr>
          <w:p>
            <w:pPr>
              <w:spacing w:after="0"/>
              <w:rPr>
                <w:sz w:val="18"/>
                <w:szCs w:val="18"/>
                <w:color w:val="auto"/>
              </w:rPr>
            </w:pP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160,034,451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9"/>
              </w:rPr>
              <w:t>160,034,451</w:t>
            </w:r>
          </w:p>
        </w:tc>
        <w:tc>
          <w:tcPr>
            <w:tcW w:w="60" w:type="dxa"/>
            <w:vAlign w:val="bottom"/>
          </w:tcPr>
          <w:p>
            <w:pPr>
              <w:spacing w:after="0"/>
              <w:rPr>
                <w:sz w:val="18"/>
                <w:szCs w:val="18"/>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158,460,242</w:t>
            </w:r>
          </w:p>
        </w:tc>
        <w:tc>
          <w:tcPr>
            <w:tcW w:w="120" w:type="dxa"/>
            <w:vAlign w:val="bottom"/>
          </w:tcPr>
          <w:p>
            <w:pPr>
              <w:spacing w:after="0"/>
              <w:rPr>
                <w:sz w:val="18"/>
                <w:szCs w:val="18"/>
                <w:color w:val="auto"/>
              </w:rPr>
            </w:pPr>
          </w:p>
        </w:tc>
        <w:tc>
          <w:tcPr>
            <w:tcW w:w="14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159,714,698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159,714,698</w:t>
            </w: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used in computing net loss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ADS</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79,462,421</w:t>
            </w:r>
          </w:p>
        </w:tc>
        <w:tc>
          <w:tcPr>
            <w:tcW w:w="120" w:type="dxa"/>
            <w:vAlign w:val="bottom"/>
          </w:tcPr>
          <w:p>
            <w:pPr>
              <w:spacing w:after="0"/>
              <w:rPr>
                <w:sz w:val="18"/>
                <w:szCs w:val="18"/>
                <w:color w:val="auto"/>
              </w:rPr>
            </w:pP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80,017,226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80,017,226</w:t>
            </w:r>
          </w:p>
        </w:tc>
        <w:tc>
          <w:tcPr>
            <w:tcW w:w="60" w:type="dxa"/>
            <w:vAlign w:val="bottom"/>
          </w:tcPr>
          <w:p>
            <w:pPr>
              <w:spacing w:after="0"/>
              <w:rPr>
                <w:sz w:val="18"/>
                <w:szCs w:val="18"/>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79,230,121</w:t>
            </w:r>
          </w:p>
        </w:tc>
        <w:tc>
          <w:tcPr>
            <w:tcW w:w="120" w:type="dxa"/>
            <w:vAlign w:val="bottom"/>
          </w:tcPr>
          <w:p>
            <w:pPr>
              <w:spacing w:after="0"/>
              <w:rPr>
                <w:sz w:val="18"/>
                <w:szCs w:val="18"/>
                <w:color w:val="auto"/>
              </w:rPr>
            </w:pPr>
          </w:p>
        </w:tc>
        <w:tc>
          <w:tcPr>
            <w:tcW w:w="14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79,857,349</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79,857,349</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79,462,421</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80,017,226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80,017,226</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79,230,121</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79,857,349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79,857,349</w:t>
            </w:r>
          </w:p>
        </w:tc>
      </w:tr>
      <w:tr>
        <w:trPr>
          <w:trHeight w:val="441"/>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Includes share-based compensation expenses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2"/>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160" w:type="dxa"/>
            <w:vAlign w:val="bottom"/>
          </w:tcPr>
          <w:p>
            <w:pPr>
              <w:spacing w:after="0"/>
              <w:rPr>
                <w:sz w:val="24"/>
                <w:szCs w:val="24"/>
                <w:color w:val="auto"/>
              </w:rPr>
            </w:pPr>
          </w:p>
        </w:tc>
        <w:tc>
          <w:tcPr>
            <w:tcW w:w="3860" w:type="dxa"/>
            <w:vAlign w:val="bottom"/>
            <w:gridSpan w:val="9"/>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top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140" w:type="dxa"/>
            <w:vAlign w:val="bottom"/>
            <w:tcBorders>
              <w:top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155,177</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156,745</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22,414</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751,445</w:t>
            </w: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858,055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122,700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1,363,601</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896,134</w:t>
            </w:r>
          </w:p>
        </w:tc>
        <w:tc>
          <w:tcPr>
            <w:tcW w:w="1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128,145</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7,110,420</w:t>
            </w:r>
          </w:p>
        </w:tc>
        <w:tc>
          <w:tcPr>
            <w:tcW w:w="14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5,396,473</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771,685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2,054,764</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2,258,971</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323,029</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7,325,327</w:t>
            </w: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9,890,499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1,414,323</w:t>
            </w: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2,281,042</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2,383,925</w:t>
            </w:r>
          </w:p>
        </w:tc>
        <w:tc>
          <w:tcPr>
            <w:tcW w:w="18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340,897</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9,045,786</w:t>
            </w:r>
          </w:p>
        </w:tc>
        <w:tc>
          <w:tcPr>
            <w:tcW w:w="14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11,586,370</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1,656,829</w:t>
            </w:r>
          </w:p>
        </w:tc>
      </w:tr>
      <w:tr>
        <w:trPr>
          <w:trHeight w:val="174"/>
        </w:trPr>
        <w:tc>
          <w:tcPr>
            <w:tcW w:w="3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5,854,584</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5,695,775</w:t>
            </w: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814,485</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24,232,978</w:t>
            </w:r>
          </w:p>
        </w:tc>
        <w:tc>
          <w:tcPr>
            <w:tcW w:w="14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27,731,397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3,965,537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717"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53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149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10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292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(72,538,069)</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(88,108,576)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(12,599,358)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(193,200,639)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(39,385,588)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(5,632,064)</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5,854,584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5,695,775</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814,485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24,232,978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27,731,397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3,965,537</w:t>
            </w:r>
          </w:p>
        </w:tc>
      </w:tr>
      <w:tr>
        <w:trPr>
          <w:trHeight w:val="23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(66,683,485)</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(82,412,801)</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(11,784,873)</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(168,967,661)</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(11,654,191)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(1,666,527)</w:t>
            </w:r>
          </w:p>
        </w:tc>
        <w:tc>
          <w:tcPr>
            <w:tcW w:w="100" w:type="dxa"/>
            <w:vAlign w:val="bottom"/>
          </w:tcPr>
          <w:p>
            <w:pPr>
              <w:spacing w:after="0"/>
              <w:rPr>
                <w:sz w:val="20"/>
                <w:szCs w:val="20"/>
                <w:color w:val="auto"/>
              </w:rPr>
            </w:pPr>
          </w:p>
        </w:tc>
      </w:tr>
      <w:tr>
        <w:trPr>
          <w:trHeight w:val="653"/>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2026-03-18T05:28:21Z</dcterms:created>
  <dcterms:modified xsi:type="dcterms:W3CDTF">2026-03-18T05:28:21Z</dcterms:modified>
</cp:coreProperties>
</file>